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5976F0" w:rsidP="005170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января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5976F0">
              <w:rPr>
                <w:sz w:val="22"/>
                <w:szCs w:val="22"/>
              </w:rPr>
              <w:t>26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5976F0">
              <w:rPr>
                <w:sz w:val="22"/>
                <w:szCs w:val="22"/>
              </w:rPr>
              <w:t>26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r w:rsidR="005976F0" w:rsidRPr="005976F0">
              <w:rPr>
                <w:sz w:val="22"/>
                <w:szCs w:val="22"/>
              </w:rPr>
              <w:t>Об одобрении сделки, заключаемой с превы</w:t>
            </w:r>
            <w:bookmarkStart w:id="0" w:name="_GoBack"/>
            <w:bookmarkEnd w:id="0"/>
            <w:r w:rsidR="005976F0" w:rsidRPr="005976F0">
              <w:rPr>
                <w:sz w:val="22"/>
                <w:szCs w:val="22"/>
              </w:rPr>
              <w:t>шением максимального лимита требований к контрагенту (группе), утвержденного Советом директоров ООО «Экспобанк»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5976F0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7F04C7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976F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2021-01-26T11:22:00Z</dcterms:created>
  <dcterms:modified xsi:type="dcterms:W3CDTF">2021-01-26T11:22:00Z</dcterms:modified>
</cp:coreProperties>
</file>