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3C" w:rsidRDefault="00AB093C" w:rsidP="00C94227">
      <w:pPr>
        <w:jc w:val="center"/>
        <w:rPr>
          <w:b/>
          <w:sz w:val="22"/>
          <w:szCs w:val="22"/>
        </w:rPr>
      </w:pPr>
      <w:r>
        <w:t xml:space="preserve">СООБЩЕНИЕ АДРЕСОВАНО </w:t>
      </w:r>
      <w:r>
        <w:rPr>
          <w:rStyle w:val="hl"/>
        </w:rPr>
        <w:t>КВАЛИФИЦИРОВАННЫМ</w:t>
      </w:r>
      <w:r>
        <w:t xml:space="preserve"> </w:t>
      </w:r>
      <w:r>
        <w:rPr>
          <w:rStyle w:val="hl"/>
        </w:rPr>
        <w:t>ИНВЕСТОРАМ</w:t>
      </w:r>
    </w:p>
    <w:p w:rsidR="00AB093C" w:rsidRDefault="00AB093C" w:rsidP="00C94227">
      <w:pPr>
        <w:jc w:val="center"/>
        <w:rPr>
          <w:b/>
          <w:sz w:val="22"/>
          <w:szCs w:val="22"/>
        </w:rPr>
      </w:pPr>
    </w:p>
    <w:p w:rsidR="00DE6A4B" w:rsidRPr="00C56FC2" w:rsidRDefault="00D57B05" w:rsidP="00C94227">
      <w:pPr>
        <w:jc w:val="center"/>
        <w:rPr>
          <w:b/>
          <w:bCs/>
          <w:sz w:val="22"/>
          <w:szCs w:val="22"/>
        </w:rPr>
      </w:pPr>
      <w:r w:rsidRPr="00C56FC2">
        <w:rPr>
          <w:b/>
          <w:sz w:val="22"/>
          <w:szCs w:val="22"/>
        </w:rPr>
        <w:t xml:space="preserve">Сообщение о существенном факте </w:t>
      </w:r>
      <w:r w:rsidRPr="00C56FC2">
        <w:rPr>
          <w:b/>
          <w:sz w:val="22"/>
          <w:szCs w:val="22"/>
        </w:rPr>
        <w:br/>
        <w:t>«О дате начала размещения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F8162F" w:rsidTr="006C3863">
        <w:tc>
          <w:tcPr>
            <w:tcW w:w="5273" w:type="dxa"/>
            <w:vAlign w:val="center"/>
          </w:tcPr>
          <w:p w:rsidR="00E91D50" w:rsidRPr="00F8162F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F8162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F8162F" w:rsidRDefault="00E91D50" w:rsidP="009569EA">
            <w:pPr>
              <w:rPr>
                <w:b/>
                <w:sz w:val="22"/>
                <w:szCs w:val="22"/>
              </w:rPr>
            </w:pPr>
            <w:r w:rsidRPr="00F8162F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376A3C" w:rsidP="00376A3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9C2011">
              <w:rPr>
                <w:b/>
                <w:color w:val="000000"/>
                <w:sz w:val="22"/>
                <w:szCs w:val="22"/>
              </w:rPr>
              <w:t>ма</w:t>
            </w:r>
            <w:r>
              <w:rPr>
                <w:b/>
                <w:color w:val="000000"/>
                <w:sz w:val="22"/>
                <w:szCs w:val="22"/>
              </w:rPr>
              <w:t xml:space="preserve">я </w:t>
            </w:r>
            <w:r w:rsidR="009C20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C2011">
              <w:rPr>
                <w:b/>
                <w:color w:val="000000"/>
                <w:sz w:val="22"/>
                <w:szCs w:val="22"/>
              </w:rPr>
              <w:t>21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B5D2C" w:rsidTr="007761E4">
        <w:trPr>
          <w:trHeight w:val="1124"/>
        </w:trPr>
        <w:tc>
          <w:tcPr>
            <w:tcW w:w="9923" w:type="dxa"/>
          </w:tcPr>
          <w:p w:rsidR="009C2011" w:rsidRPr="00BB5D2C" w:rsidRDefault="00D57B05" w:rsidP="00287161">
            <w:pPr>
              <w:ind w:right="142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2.1. Вид, категория (тип), серия и иные идентификационные признаки размещаемых ценных бумаг: </w:t>
            </w:r>
            <w:r w:rsidR="00AB093C" w:rsidRPr="00BB5D2C">
              <w:rPr>
                <w:sz w:val="22"/>
                <w:szCs w:val="22"/>
              </w:rPr>
              <w:t>облигации неконвертируемые процентные бездокументарные с централизованным учетом прав без установленного срока погашения, с возможностью погашения по усмотрению эмитента, серии 02ВК, размещаемые по закрытой подписке, предназначенные для квалифицированных инвесторов, регистрационный номер выпуска – 4</w:t>
            </w:r>
            <w:r w:rsidR="00991EFB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</w:rPr>
              <w:t>05</w:t>
            </w:r>
            <w:r w:rsidR="00991EFB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</w:rPr>
              <w:t>02998</w:t>
            </w:r>
            <w:r w:rsidR="00435709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  <w:lang w:val="en-US"/>
              </w:rPr>
              <w:t>B</w:t>
            </w:r>
            <w:r w:rsidR="00AB093C" w:rsidRPr="00BB5D2C">
              <w:rPr>
                <w:sz w:val="22"/>
                <w:szCs w:val="22"/>
              </w:rPr>
              <w:t xml:space="preserve"> от 29.04.2021г. (далее по тексту - Облигации)</w:t>
            </w:r>
            <w:r w:rsidRPr="00BB5D2C">
              <w:rPr>
                <w:sz w:val="22"/>
                <w:szCs w:val="22"/>
              </w:rPr>
              <w:t>. Международный код (номер) идентификации ценных бумаг (ISIN) не прис</w:t>
            </w:r>
            <w:bookmarkStart w:id="0" w:name="_GoBack"/>
            <w:bookmarkEnd w:id="0"/>
            <w:r w:rsidRPr="00BB5D2C">
              <w:rPr>
                <w:sz w:val="22"/>
                <w:szCs w:val="22"/>
              </w:rPr>
              <w:t>воен.</w:t>
            </w:r>
          </w:p>
          <w:p w:rsidR="00AB093C" w:rsidRPr="00BB5D2C" w:rsidRDefault="00D57B05" w:rsidP="00AB093C">
            <w:pPr>
              <w:ind w:right="142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2.2. Срок погашения: </w:t>
            </w:r>
            <w:r w:rsidR="00AB093C" w:rsidRPr="00BB5D2C">
              <w:rPr>
                <w:sz w:val="22"/>
                <w:szCs w:val="22"/>
              </w:rPr>
              <w:t>срок погашения по Облигациям не определяется.</w:t>
            </w:r>
          </w:p>
          <w:p w:rsidR="00AB093C" w:rsidRPr="00BB5D2C" w:rsidRDefault="00D57B05" w:rsidP="00356D86">
            <w:pPr>
              <w:adjustRightInd w:val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2.3. Идентификационный номер, присвоенный выпуску ценных бумаг, и дата его присвоения: </w:t>
            </w:r>
            <w:r w:rsidR="00AB093C" w:rsidRPr="00BB5D2C">
              <w:rPr>
                <w:sz w:val="22"/>
                <w:szCs w:val="22"/>
              </w:rPr>
              <w:t>4</w:t>
            </w:r>
            <w:r w:rsidR="00991EFB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</w:rPr>
              <w:t>05</w:t>
            </w:r>
            <w:r w:rsidR="00991EFB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</w:rPr>
              <w:t>02998</w:t>
            </w:r>
            <w:r w:rsidR="00435709">
              <w:rPr>
                <w:sz w:val="22"/>
                <w:szCs w:val="22"/>
              </w:rPr>
              <w:t>-</w:t>
            </w:r>
            <w:r w:rsidR="00AB093C" w:rsidRPr="00BB5D2C">
              <w:rPr>
                <w:sz w:val="22"/>
                <w:szCs w:val="22"/>
                <w:lang w:val="en-US"/>
              </w:rPr>
              <w:t>B</w:t>
            </w:r>
            <w:r w:rsidR="00AB093C" w:rsidRPr="00BB5D2C">
              <w:rPr>
                <w:sz w:val="22"/>
                <w:szCs w:val="22"/>
              </w:rPr>
              <w:t xml:space="preserve"> от 29.04.2021г </w:t>
            </w:r>
          </w:p>
          <w:p w:rsidR="00BB5D2C" w:rsidRPr="00BB5D2C" w:rsidRDefault="00D57B05" w:rsidP="00BB5D2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  <w:u w:val="single"/>
              </w:rPr>
            </w:pPr>
            <w:r w:rsidRPr="00BB5D2C">
              <w:rPr>
                <w:sz w:val="22"/>
                <w:szCs w:val="22"/>
              </w:rPr>
              <w:t xml:space="preserve">2.4. </w:t>
            </w:r>
            <w:proofErr w:type="gramStart"/>
            <w:r w:rsidRPr="00BB5D2C">
              <w:rPr>
                <w:sz w:val="22"/>
                <w:szCs w:val="22"/>
              </w:rPr>
              <w:t>Наименование органа (организации), присвоившего (присвоившей) выпуску ценных бумаг идентификационный номер:</w:t>
            </w:r>
            <w:proofErr w:type="gramEnd"/>
            <w:r w:rsidRPr="00BB5D2C">
              <w:rPr>
                <w:sz w:val="22"/>
                <w:szCs w:val="22"/>
              </w:rPr>
              <w:t xml:space="preserve"> </w:t>
            </w:r>
            <w:r w:rsidR="00AB093C" w:rsidRPr="00BB5D2C">
              <w:rPr>
                <w:sz w:val="22"/>
                <w:szCs w:val="22"/>
              </w:rPr>
              <w:t xml:space="preserve">Банк России </w:t>
            </w:r>
            <w:r w:rsidRPr="00BB5D2C">
              <w:rPr>
                <w:sz w:val="22"/>
                <w:szCs w:val="22"/>
              </w:rPr>
              <w:br/>
              <w:t xml:space="preserve">2.5. Количество размещаемых ценных бумаг и номинальная стоимость каждой размещаемой ценной бумаги: </w:t>
            </w:r>
            <w:r w:rsidR="00F8162F" w:rsidRPr="00BB5D2C">
              <w:rPr>
                <w:color w:val="000000"/>
                <w:sz w:val="22"/>
                <w:szCs w:val="22"/>
              </w:rPr>
              <w:t>400 (Четыреста) штук</w:t>
            </w:r>
            <w:r w:rsidRPr="00BB5D2C">
              <w:rPr>
                <w:sz w:val="22"/>
                <w:szCs w:val="22"/>
              </w:rPr>
              <w:t>.</w:t>
            </w:r>
            <w:r w:rsidR="00F8162F" w:rsidRPr="00BB5D2C">
              <w:rPr>
                <w:iCs/>
                <w:sz w:val="22"/>
                <w:szCs w:val="22"/>
              </w:rPr>
              <w:t xml:space="preserve"> Номинальная стоимость каждой Облигации: 150 000 (Сто пятьдесят тысяч) долларов США.</w:t>
            </w:r>
            <w:r w:rsidRPr="00BB5D2C">
              <w:rPr>
                <w:sz w:val="22"/>
                <w:szCs w:val="22"/>
              </w:rPr>
              <w:t xml:space="preserve"> </w:t>
            </w:r>
            <w:r w:rsidRPr="00BB5D2C">
              <w:rPr>
                <w:sz w:val="22"/>
                <w:szCs w:val="22"/>
              </w:rPr>
              <w:br/>
              <w:t xml:space="preserve">2.6. Способ размещения ценных бумаг: </w:t>
            </w:r>
            <w:r w:rsidR="00F8162F" w:rsidRPr="00BB5D2C">
              <w:rPr>
                <w:color w:val="000000"/>
                <w:sz w:val="22"/>
                <w:szCs w:val="22"/>
              </w:rPr>
              <w:t>закрытая подписка</w:t>
            </w:r>
            <w:r w:rsidRPr="00BB5D2C">
              <w:rPr>
                <w:sz w:val="22"/>
                <w:szCs w:val="22"/>
              </w:rPr>
              <w:t xml:space="preserve">. </w:t>
            </w:r>
            <w:r w:rsidR="00BB5D2C" w:rsidRPr="00BB5D2C">
              <w:rPr>
                <w:color w:val="000000"/>
                <w:sz w:val="22"/>
                <w:szCs w:val="22"/>
              </w:rPr>
              <w:t>Круг потенциальных приобретателей Облигаций:</w:t>
            </w:r>
            <w:r w:rsidR="00BB5D2C">
              <w:rPr>
                <w:color w:val="000000"/>
                <w:sz w:val="22"/>
                <w:szCs w:val="22"/>
              </w:rPr>
              <w:t xml:space="preserve"> </w:t>
            </w:r>
            <w:r w:rsidR="00BB5D2C" w:rsidRPr="00BB5D2C">
              <w:rPr>
                <w:sz w:val="22"/>
                <w:szCs w:val="22"/>
              </w:rPr>
              <w:t>Квалифицированные инвесторы в силу федерального закона и иные лица, признанные квалифицированными инвесторами в силу Закона о рынке ценных бумаг.</w:t>
            </w:r>
          </w:p>
          <w:p w:rsidR="002F7BF0" w:rsidRPr="00BB5D2C" w:rsidRDefault="00D57B05" w:rsidP="00F8162F">
            <w:pPr>
              <w:pStyle w:val="20"/>
              <w:keepNext/>
              <w:keepLines/>
              <w:tabs>
                <w:tab w:val="left" w:pos="709"/>
                <w:tab w:val="left" w:pos="1071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b w:val="0"/>
                <w:sz w:val="22"/>
                <w:szCs w:val="22"/>
              </w:rPr>
              <w:br/>
              <w:t>2.7. Цена размещения ценных бумаг или порядок ее определения:</w:t>
            </w:r>
            <w:r w:rsidRPr="00BB5D2C">
              <w:rPr>
                <w:sz w:val="22"/>
                <w:szCs w:val="22"/>
              </w:rPr>
              <w:t xml:space="preserve"> 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B5D2C">
              <w:rPr>
                <w:color w:val="000000"/>
                <w:sz w:val="22"/>
                <w:szCs w:val="22"/>
              </w:rPr>
              <w:t>Цена размещения Облигаций устанавливается равной 150 000 (Сто пятьдесят тысяч) долларов США за одну Облигацию, что соответствует 100 (Ста) процентам от ее  номинальной стоимости.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Начиная со второго дня размещения 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>Облигаций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покупатель</w:t>
            </w:r>
            <w:r w:rsidR="0046135B">
              <w:rPr>
                <w:bCs/>
                <w:iCs/>
                <w:color w:val="000000"/>
                <w:sz w:val="22"/>
                <w:szCs w:val="22"/>
              </w:rPr>
              <w:t xml:space="preserve"> Облигаций 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 при приобретении Облигаций</w:t>
            </w:r>
            <w:r w:rsidRPr="00BB5D2C">
              <w:rPr>
                <w:sz w:val="22"/>
                <w:szCs w:val="22"/>
              </w:rPr>
              <w:t xml:space="preserve"> </w:t>
            </w:r>
            <w:r w:rsidRPr="00BB5D2C">
              <w:rPr>
                <w:bCs/>
                <w:iCs/>
                <w:sz w:val="22"/>
                <w:szCs w:val="22"/>
              </w:rPr>
              <w:t>помимо цены размещения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также уплачивает накопленный купонный доход по Облигациям, определяемый по следующей формуле:</w:t>
            </w:r>
          </w:p>
          <w:p w:rsidR="002F7BF0" w:rsidRPr="00BB5D2C" w:rsidRDefault="002F7BF0" w:rsidP="002F7BF0">
            <w:pPr>
              <w:tabs>
                <w:tab w:val="left" w:pos="6311"/>
              </w:tabs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НКД = </w:t>
            </w: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Cj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* </w:t>
            </w: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Nom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* (T - T(j -1))/ 365/ 100%, где 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j - порядковый номер купонного периода; </w:t>
            </w:r>
          </w:p>
          <w:p w:rsidR="002F7BF0" w:rsidRPr="00BB5D2C" w:rsidRDefault="002F7BF0" w:rsidP="002F7BF0">
            <w:pPr>
              <w:tabs>
                <w:tab w:val="left" w:pos="6148"/>
              </w:tabs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НКД – накопленный купонный доход в 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>долларах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США;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Nom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– непогашенная часть номинальной стоимости одной Облигации, а в случае, если обязательства Эмитента по возврату номинальной стоимости владельцам Облигаций были частично прекращены в связи с наступлением любого из Событий прекращения обязательств, указанных в п.5.8.1. Решения о выпуске, в предыдущих купонных периодах или в течение j-</w:t>
            </w:r>
            <w:proofErr w:type="spellStart"/>
            <w:r w:rsidRPr="00BB5D2C">
              <w:rPr>
                <w:bCs/>
                <w:iCs/>
                <w:color w:val="000000"/>
                <w:sz w:val="22"/>
                <w:szCs w:val="22"/>
              </w:rPr>
              <w:t>го</w:t>
            </w:r>
            <w:proofErr w:type="spell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купонного периода, часть номинальной стоимости одной Облигации, обязательства по возврату которой не прекращены на дату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, в долларах США; 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C j - размер процентной ставки j-того купона, в 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>процентах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годовых; 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>T(j -1) - дата окончания( j-1) купонного периода (для случая первого купонного периода</w:t>
            </w: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 Т</w:t>
            </w:r>
            <w:proofErr w:type="gramEnd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(j-1) – это дата начала размещения Облигаций); 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T - дата расчета накопленного купонного дохода внутри j – купонного периода. </w:t>
            </w:r>
          </w:p>
          <w:p w:rsidR="002F7BF0" w:rsidRPr="00BB5D2C" w:rsidRDefault="002F7BF0" w:rsidP="002F7BF0">
            <w:pPr>
              <w:adjustRightInd w:val="0"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proofErr w:type="gramStart"/>
            <w:r w:rsidRPr="00BB5D2C">
              <w:rPr>
                <w:bCs/>
                <w:iCs/>
                <w:color w:val="000000"/>
                <w:sz w:val="22"/>
                <w:szCs w:val="22"/>
              </w:rPr>
              <w:t xml:space="preserve"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</w:t>
            </w:r>
            <w:r w:rsidRPr="00BB5D2C">
              <w:rPr>
                <w:bCs/>
                <w:iCs/>
                <w:color w:val="000000"/>
                <w:sz w:val="22"/>
                <w:szCs w:val="22"/>
              </w:rPr>
              <w:lastRenderedPageBreak/>
              <w:t>запятой больше или равен 5, второй знак после запятой увеличивается на единицу, в случае, если третий знак после запятой меньше 5, второй знак после запятой не изменяется).</w:t>
            </w:r>
            <w:proofErr w:type="gramEnd"/>
          </w:p>
          <w:p w:rsidR="002A5F9D" w:rsidRPr="00BB5D2C" w:rsidRDefault="00D57B05" w:rsidP="00F8162F">
            <w:pPr>
              <w:pStyle w:val="20"/>
              <w:keepNext/>
              <w:keepLines/>
              <w:tabs>
                <w:tab w:val="left" w:pos="709"/>
                <w:tab w:val="left" w:pos="1071"/>
              </w:tabs>
              <w:spacing w:after="0" w:line="240" w:lineRule="auto"/>
              <w:ind w:firstLine="0"/>
              <w:jc w:val="both"/>
              <w:rPr>
                <w:rStyle w:val="SUBST"/>
                <w:b/>
                <w:bCs/>
                <w:i w:val="0"/>
                <w:iCs w:val="0"/>
              </w:rPr>
            </w:pPr>
            <w:r w:rsidRPr="00BB5D2C">
              <w:rPr>
                <w:sz w:val="22"/>
                <w:szCs w:val="22"/>
              </w:rPr>
              <w:br/>
            </w:r>
          </w:p>
          <w:p w:rsidR="00AB093C" w:rsidRPr="00BB5D2C" w:rsidRDefault="00D57B05" w:rsidP="00AB093C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r w:rsidR="00AB093C" w:rsidRPr="00BB5D2C">
              <w:rPr>
                <w:bCs/>
                <w:color w:val="000000"/>
                <w:sz w:val="22"/>
                <w:szCs w:val="22"/>
              </w:rPr>
              <w:t>Возможность преимущественного права приобретения Облигаций не предусмотрена.</w:t>
            </w:r>
          </w:p>
          <w:p w:rsidR="00AB093C" w:rsidRPr="00BB5D2C" w:rsidRDefault="00D57B05" w:rsidP="00AB093C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bCs/>
                <w:color w:val="000000"/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>2.9. Дата на</w:t>
            </w:r>
            <w:r w:rsidR="00287161" w:rsidRPr="00BB5D2C">
              <w:rPr>
                <w:sz w:val="22"/>
                <w:szCs w:val="22"/>
              </w:rPr>
              <w:t xml:space="preserve">чала размещения ценных бумаг: </w:t>
            </w:r>
            <w:r w:rsidR="00AB093C" w:rsidRPr="00BB5D2C">
              <w:rPr>
                <w:sz w:val="22"/>
                <w:szCs w:val="22"/>
              </w:rPr>
              <w:t>08</w:t>
            </w:r>
            <w:r w:rsidR="00287161" w:rsidRPr="00BB5D2C">
              <w:rPr>
                <w:sz w:val="22"/>
                <w:szCs w:val="22"/>
              </w:rPr>
              <w:t>.</w:t>
            </w:r>
            <w:r w:rsidR="009C2011" w:rsidRPr="00BB5D2C">
              <w:rPr>
                <w:sz w:val="22"/>
                <w:szCs w:val="22"/>
              </w:rPr>
              <w:t>0</w:t>
            </w:r>
            <w:r w:rsidR="00AB093C" w:rsidRPr="00BB5D2C">
              <w:rPr>
                <w:sz w:val="22"/>
                <w:szCs w:val="22"/>
              </w:rPr>
              <w:t>6</w:t>
            </w:r>
            <w:r w:rsidRPr="00BB5D2C">
              <w:rPr>
                <w:sz w:val="22"/>
                <w:szCs w:val="22"/>
              </w:rPr>
              <w:t>.20</w:t>
            </w:r>
            <w:r w:rsidR="009C2011" w:rsidRPr="00BB5D2C">
              <w:rPr>
                <w:sz w:val="22"/>
                <w:szCs w:val="22"/>
              </w:rPr>
              <w:t>21 г</w:t>
            </w:r>
            <w:r w:rsidRPr="00BB5D2C">
              <w:rPr>
                <w:sz w:val="22"/>
                <w:szCs w:val="22"/>
              </w:rPr>
              <w:t xml:space="preserve">. </w:t>
            </w:r>
          </w:p>
          <w:p w:rsidR="00F8162F" w:rsidRPr="00BB5D2C" w:rsidRDefault="00D57B05" w:rsidP="00F8162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 xml:space="preserve">2.10. 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</w:t>
            </w:r>
            <w:proofErr w:type="gramStart"/>
            <w:r w:rsidRPr="00BB5D2C">
              <w:rPr>
                <w:sz w:val="22"/>
                <w:szCs w:val="22"/>
              </w:rPr>
              <w:t>позднее</w:t>
            </w:r>
            <w:proofErr w:type="gramEnd"/>
            <w:r w:rsidRPr="00BB5D2C">
              <w:rPr>
                <w:sz w:val="22"/>
                <w:szCs w:val="22"/>
              </w:rPr>
              <w:t xml:space="preserve"> чем за один день до опубликованной в указанном сообщении даты на</w:t>
            </w:r>
            <w:r w:rsidR="00172A97" w:rsidRPr="00BB5D2C">
              <w:rPr>
                <w:sz w:val="22"/>
                <w:szCs w:val="22"/>
              </w:rPr>
              <w:t xml:space="preserve">чала размещения ценных бумаг: </w:t>
            </w:r>
          </w:p>
          <w:p w:rsidR="00F8162F" w:rsidRPr="00BB5D2C" w:rsidRDefault="00F8162F" w:rsidP="00F8162F">
            <w:pPr>
              <w:pStyle w:val="10"/>
              <w:tabs>
                <w:tab w:val="left" w:pos="709"/>
                <w:tab w:val="left" w:pos="1296"/>
              </w:tabs>
              <w:spacing w:after="300" w:line="240" w:lineRule="auto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BB5D2C">
              <w:rPr>
                <w:color w:val="000000"/>
                <w:sz w:val="22"/>
                <w:szCs w:val="22"/>
              </w:rPr>
              <w:t>В случае принятия Эмитентом решения об изменении (переносе) даты начала размещения ценных бумаг, раскрытой в порядке, предусмотренном выше, Эмитент обязан не позднее 1 (Одного) календарного дня до наступления такой даты опубликовать в соответствии с нормативными актами в сфере финансовых рынков сообщение об изменении даты начала размещения ценных бумаг на Странице в сети Интернет.</w:t>
            </w:r>
            <w:proofErr w:type="gramEnd"/>
          </w:p>
          <w:p w:rsidR="00376A3C" w:rsidRPr="00BB5D2C" w:rsidRDefault="00D57B05" w:rsidP="00376A3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BB5D2C">
              <w:rPr>
                <w:sz w:val="22"/>
                <w:szCs w:val="22"/>
              </w:rPr>
              <w:t>2.11. Дата окончания размещения ценных бумаг или порядок ее определения:</w:t>
            </w:r>
            <w:r w:rsidRPr="00BB5D2C">
              <w:rPr>
                <w:sz w:val="22"/>
                <w:szCs w:val="22"/>
              </w:rPr>
              <w:br/>
            </w:r>
            <w:r w:rsidR="00376A3C" w:rsidRPr="00BB5D2C">
              <w:rPr>
                <w:color w:val="000000"/>
                <w:sz w:val="22"/>
                <w:szCs w:val="22"/>
              </w:rPr>
              <w:t>Датой окончания размещения Облигаций является более ранняя из следующих дат:</w:t>
            </w:r>
          </w:p>
          <w:p w:rsidR="00376A3C" w:rsidRPr="00BB5D2C" w:rsidRDefault="00376A3C" w:rsidP="00376A3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1" w:name="bookmark17"/>
            <w:r w:rsidRPr="00BB5D2C">
              <w:rPr>
                <w:color w:val="000000"/>
                <w:sz w:val="22"/>
                <w:szCs w:val="22"/>
              </w:rPr>
              <w:t>а</w:t>
            </w:r>
            <w:bookmarkEnd w:id="1"/>
            <w:r w:rsidRPr="00BB5D2C">
              <w:rPr>
                <w:color w:val="000000"/>
                <w:sz w:val="22"/>
                <w:szCs w:val="22"/>
              </w:rPr>
              <w:t>)</w:t>
            </w:r>
            <w:r w:rsidRPr="00BB5D2C">
              <w:rPr>
                <w:color w:val="000000"/>
                <w:sz w:val="22"/>
                <w:szCs w:val="22"/>
              </w:rPr>
              <w:tab/>
              <w:t xml:space="preserve">5  (Пятый) рабочий день </w:t>
            </w:r>
            <w:proofErr w:type="gramStart"/>
            <w:r w:rsidRPr="00BB5D2C">
              <w:rPr>
                <w:color w:val="000000"/>
                <w:sz w:val="22"/>
                <w:szCs w:val="22"/>
              </w:rPr>
              <w:t>с даты начала</w:t>
            </w:r>
            <w:proofErr w:type="gramEnd"/>
            <w:r w:rsidRPr="00BB5D2C">
              <w:rPr>
                <w:color w:val="000000"/>
                <w:sz w:val="22"/>
                <w:szCs w:val="22"/>
              </w:rPr>
              <w:t xml:space="preserve"> размещения Облигаций; или</w:t>
            </w:r>
          </w:p>
          <w:p w:rsidR="00376A3C" w:rsidRPr="00BB5D2C" w:rsidRDefault="00376A3C" w:rsidP="00376A3C">
            <w:pPr>
              <w:pStyle w:val="10"/>
              <w:tabs>
                <w:tab w:val="left" w:pos="709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2" w:name="bookmark18"/>
            <w:r w:rsidRPr="00BB5D2C">
              <w:rPr>
                <w:color w:val="000000"/>
                <w:sz w:val="22"/>
                <w:szCs w:val="22"/>
              </w:rPr>
              <w:t>б</w:t>
            </w:r>
            <w:bookmarkEnd w:id="2"/>
            <w:r w:rsidRPr="00BB5D2C">
              <w:rPr>
                <w:color w:val="000000"/>
                <w:sz w:val="22"/>
                <w:szCs w:val="22"/>
              </w:rPr>
              <w:t>)</w:t>
            </w:r>
            <w:r w:rsidRPr="00BB5D2C">
              <w:rPr>
                <w:color w:val="000000"/>
                <w:sz w:val="22"/>
                <w:szCs w:val="22"/>
              </w:rPr>
              <w:tab/>
              <w:t xml:space="preserve">дата размещения последней Облигации </w:t>
            </w:r>
            <w:r w:rsidR="0046135B">
              <w:rPr>
                <w:color w:val="000000"/>
                <w:sz w:val="22"/>
                <w:szCs w:val="22"/>
              </w:rPr>
              <w:t xml:space="preserve">данного </w:t>
            </w:r>
            <w:r w:rsidRPr="00BB5D2C">
              <w:rPr>
                <w:color w:val="000000"/>
                <w:sz w:val="22"/>
                <w:szCs w:val="22"/>
              </w:rPr>
              <w:t>выпуска.</w:t>
            </w:r>
          </w:p>
          <w:p w:rsidR="002F7E18" w:rsidRPr="00BB5D2C" w:rsidRDefault="00376A3C" w:rsidP="00376A3C">
            <w:pPr>
              <w:autoSpaceDE/>
              <w:autoSpaceDN/>
              <w:jc w:val="both"/>
              <w:rPr>
                <w:rFonts w:cs="Calibri"/>
                <w:b/>
                <w:sz w:val="22"/>
              </w:rPr>
            </w:pPr>
            <w:r w:rsidRPr="00BB5D2C">
              <w:rPr>
                <w:color w:val="000000"/>
                <w:sz w:val="22"/>
                <w:szCs w:val="22"/>
              </w:rPr>
              <w:t>Выпуск Облигаций не предполагается размещать траншами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55289">
              <w:rPr>
                <w:rFonts w:eastAsia="SimSun"/>
                <w:sz w:val="22"/>
                <w:szCs w:val="22"/>
              </w:rPr>
              <w:t>ь</w:t>
            </w:r>
            <w:r w:rsidR="003A56A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C2011" w:rsidP="009C201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76A3C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376A3C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9C2011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35709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63EBC"/>
    <w:multiLevelType w:val="multilevel"/>
    <w:tmpl w:val="6B88B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9"/>
  </w:num>
  <w:num w:numId="10">
    <w:abstractNumId w:val="21"/>
  </w:num>
  <w:num w:numId="11">
    <w:abstractNumId w:val="11"/>
  </w:num>
  <w:num w:numId="12">
    <w:abstractNumId w:val="18"/>
  </w:num>
  <w:num w:numId="13">
    <w:abstractNumId w:val="10"/>
  </w:num>
  <w:num w:numId="14">
    <w:abstractNumId w:val="22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337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5F9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BF0"/>
    <w:rsid w:val="002F7E18"/>
    <w:rsid w:val="00303B30"/>
    <w:rsid w:val="00315C36"/>
    <w:rsid w:val="00315CC2"/>
    <w:rsid w:val="00321A14"/>
    <w:rsid w:val="00321E4D"/>
    <w:rsid w:val="00322608"/>
    <w:rsid w:val="003247C0"/>
    <w:rsid w:val="00343765"/>
    <w:rsid w:val="003459F2"/>
    <w:rsid w:val="00354826"/>
    <w:rsid w:val="00356D86"/>
    <w:rsid w:val="0036361E"/>
    <w:rsid w:val="00364C6B"/>
    <w:rsid w:val="00376A3C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09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135B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667E9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1261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1EFB"/>
    <w:rsid w:val="00992B0D"/>
    <w:rsid w:val="009B0873"/>
    <w:rsid w:val="009B0AFB"/>
    <w:rsid w:val="009B1EFA"/>
    <w:rsid w:val="009B69EB"/>
    <w:rsid w:val="009C2011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093C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5D2C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6FC2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82841"/>
    <w:rsid w:val="00E90728"/>
    <w:rsid w:val="00E90C2E"/>
    <w:rsid w:val="00E90C58"/>
    <w:rsid w:val="00E91D50"/>
    <w:rsid w:val="00E93AFE"/>
    <w:rsid w:val="00E97F9A"/>
    <w:rsid w:val="00EA1512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8162F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AB093C"/>
  </w:style>
  <w:style w:type="character" w:customStyle="1" w:styleId="aff">
    <w:name w:val="Основной текст_"/>
    <w:basedOn w:val="a0"/>
    <w:link w:val="10"/>
    <w:rsid w:val="00AB093C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AB093C"/>
    <w:pPr>
      <w:widowControl w:val="0"/>
      <w:autoSpaceDE/>
      <w:autoSpaceDN/>
      <w:spacing w:line="396" w:lineRule="auto"/>
      <w:ind w:firstLine="400"/>
    </w:pPr>
  </w:style>
  <w:style w:type="character" w:customStyle="1" w:styleId="2">
    <w:name w:val="Заголовок №2_"/>
    <w:basedOn w:val="a0"/>
    <w:link w:val="20"/>
    <w:rsid w:val="00F8162F"/>
    <w:rPr>
      <w:rFonts w:ascii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F8162F"/>
    <w:pPr>
      <w:widowControl w:val="0"/>
      <w:autoSpaceDE/>
      <w:autoSpaceDN/>
      <w:spacing w:after="170" w:line="396" w:lineRule="auto"/>
      <w:ind w:firstLine="580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2A5F9D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AB093C"/>
  </w:style>
  <w:style w:type="character" w:customStyle="1" w:styleId="aff">
    <w:name w:val="Основной текст_"/>
    <w:basedOn w:val="a0"/>
    <w:link w:val="10"/>
    <w:rsid w:val="00AB093C"/>
    <w:rPr>
      <w:rFonts w:ascii="Times New Roman" w:hAnsi="Times New Roman"/>
    </w:rPr>
  </w:style>
  <w:style w:type="paragraph" w:customStyle="1" w:styleId="10">
    <w:name w:val="Основной текст1"/>
    <w:basedOn w:val="a"/>
    <w:link w:val="aff"/>
    <w:rsid w:val="00AB093C"/>
    <w:pPr>
      <w:widowControl w:val="0"/>
      <w:autoSpaceDE/>
      <w:autoSpaceDN/>
      <w:spacing w:line="396" w:lineRule="auto"/>
      <w:ind w:firstLine="400"/>
    </w:pPr>
  </w:style>
  <w:style w:type="character" w:customStyle="1" w:styleId="2">
    <w:name w:val="Заголовок №2_"/>
    <w:basedOn w:val="a0"/>
    <w:link w:val="20"/>
    <w:rsid w:val="00F8162F"/>
    <w:rPr>
      <w:rFonts w:ascii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F8162F"/>
    <w:pPr>
      <w:widowControl w:val="0"/>
      <w:autoSpaceDE/>
      <w:autoSpaceDN/>
      <w:spacing w:after="170" w:line="396" w:lineRule="auto"/>
      <w:ind w:firstLine="580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671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5182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8</cp:revision>
  <cp:lastPrinted>2019-05-13T16:02:00Z</cp:lastPrinted>
  <dcterms:created xsi:type="dcterms:W3CDTF">2021-03-19T09:08:00Z</dcterms:created>
  <dcterms:modified xsi:type="dcterms:W3CDTF">2021-05-21T08:51:00Z</dcterms:modified>
</cp:coreProperties>
</file>