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08" w:rsidRPr="00506C7C" w:rsidRDefault="00B35708" w:rsidP="00B35708">
      <w:pPr>
        <w:jc w:val="center"/>
        <w:rPr>
          <w:b/>
          <w:sz w:val="22"/>
          <w:szCs w:val="22"/>
        </w:rPr>
      </w:pPr>
      <w:bookmarkStart w:id="0" w:name="_GoBack"/>
      <w:r w:rsidRPr="00506C7C">
        <w:rPr>
          <w:b/>
          <w:sz w:val="22"/>
          <w:szCs w:val="22"/>
        </w:rPr>
        <w:t>Сообщение о существенном факте</w:t>
      </w:r>
    </w:p>
    <w:p w:rsidR="00B35708" w:rsidRPr="004C4BF3" w:rsidRDefault="00B35708" w:rsidP="00B35708">
      <w:pPr>
        <w:jc w:val="center"/>
        <w:rPr>
          <w:b/>
          <w:sz w:val="22"/>
          <w:szCs w:val="22"/>
        </w:rPr>
      </w:pPr>
      <w:r w:rsidRPr="004C4BF3">
        <w:rPr>
          <w:b/>
          <w:sz w:val="22"/>
          <w:szCs w:val="22"/>
        </w:rPr>
        <w:t>«</w:t>
      </w:r>
      <w:r w:rsidR="004C4BF3" w:rsidRPr="004C4BF3">
        <w:rPr>
          <w:b/>
          <w:sz w:val="22"/>
          <w:szCs w:val="22"/>
        </w:rPr>
        <w:t>Сведения об этапах</w:t>
      </w:r>
      <w:r w:rsidR="00B429EB">
        <w:rPr>
          <w:b/>
          <w:sz w:val="22"/>
          <w:szCs w:val="22"/>
        </w:rPr>
        <w:t xml:space="preserve"> процедуры эмиссии ценных бумаг</w:t>
      </w:r>
      <w:r w:rsidR="00005EEF">
        <w:rPr>
          <w:b/>
          <w:sz w:val="22"/>
          <w:szCs w:val="22"/>
        </w:rPr>
        <w:t>.</w:t>
      </w:r>
      <w:r w:rsidR="004C4BF3" w:rsidRPr="004C4BF3">
        <w:rPr>
          <w:b/>
          <w:sz w:val="22"/>
          <w:szCs w:val="22"/>
        </w:rPr>
        <w:br/>
        <w:t>Сведения о принятии решения о размещении ценных бумаг</w:t>
      </w:r>
      <w:r w:rsidRPr="004C4BF3">
        <w:rPr>
          <w:b/>
          <w:sz w:val="22"/>
          <w:szCs w:val="22"/>
        </w:rPr>
        <w:t>»</w:t>
      </w:r>
    </w:p>
    <w:p w:rsidR="00B35708" w:rsidRPr="00506C7C" w:rsidRDefault="00B35708" w:rsidP="00B35708">
      <w:pPr>
        <w:jc w:val="center"/>
        <w:rPr>
          <w:b/>
          <w:sz w:val="22"/>
          <w:szCs w:val="22"/>
        </w:rPr>
      </w:pPr>
    </w:p>
    <w:p w:rsidR="006C3863" w:rsidRPr="00506C7C"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06C7C" w:rsidTr="00C57CF2">
        <w:trPr>
          <w:cantSplit/>
        </w:trPr>
        <w:tc>
          <w:tcPr>
            <w:tcW w:w="9979" w:type="dxa"/>
            <w:gridSpan w:val="2"/>
          </w:tcPr>
          <w:p w:rsidR="003D6A44" w:rsidRPr="00506C7C" w:rsidRDefault="003D6A44">
            <w:pPr>
              <w:jc w:val="center"/>
              <w:rPr>
                <w:sz w:val="22"/>
                <w:szCs w:val="22"/>
              </w:rPr>
            </w:pPr>
            <w:r w:rsidRPr="00506C7C">
              <w:rPr>
                <w:sz w:val="22"/>
                <w:szCs w:val="22"/>
              </w:rPr>
              <w:t>1. Общие сведения</w:t>
            </w:r>
          </w:p>
        </w:tc>
      </w:tr>
      <w:tr w:rsidR="00E91D50" w:rsidRPr="00506C7C" w:rsidTr="006C3863">
        <w:tc>
          <w:tcPr>
            <w:tcW w:w="5273" w:type="dxa"/>
            <w:vAlign w:val="center"/>
          </w:tcPr>
          <w:p w:rsidR="00E91D50" w:rsidRPr="00506C7C" w:rsidRDefault="00E91D50" w:rsidP="009569EA">
            <w:pPr>
              <w:ind w:left="57" w:right="57"/>
              <w:rPr>
                <w:sz w:val="22"/>
                <w:szCs w:val="22"/>
                <w:lang w:val="en-US"/>
              </w:rPr>
            </w:pPr>
            <w:r w:rsidRPr="00506C7C">
              <w:rPr>
                <w:sz w:val="22"/>
                <w:szCs w:val="22"/>
              </w:rPr>
              <w:t>1.1. Полное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Общество с ограниченной ответственностью «Экспобанк»</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1.2. Сокращенное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ООО «Экспобанк»</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1.3. Место нахождения эмитента</w:t>
            </w:r>
          </w:p>
        </w:tc>
        <w:tc>
          <w:tcPr>
            <w:tcW w:w="4706" w:type="dxa"/>
            <w:vAlign w:val="center"/>
          </w:tcPr>
          <w:p w:rsidR="00E91D50" w:rsidRPr="00506C7C" w:rsidRDefault="00E91D50" w:rsidP="009569EA">
            <w:pPr>
              <w:rPr>
                <w:b/>
                <w:sz w:val="22"/>
                <w:szCs w:val="22"/>
              </w:rPr>
            </w:pPr>
            <w:r w:rsidRPr="00506C7C">
              <w:rPr>
                <w:b/>
                <w:sz w:val="22"/>
                <w:szCs w:val="22"/>
              </w:rPr>
              <w:t>107078, г. Москва, ул. Каланчевская, д.29, стр.2</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1.4. ОГРН эмитента</w:t>
            </w:r>
          </w:p>
        </w:tc>
        <w:tc>
          <w:tcPr>
            <w:tcW w:w="4706" w:type="dxa"/>
            <w:vAlign w:val="center"/>
          </w:tcPr>
          <w:p w:rsidR="00E91D50" w:rsidRPr="00506C7C" w:rsidRDefault="00E91D50" w:rsidP="009569EA">
            <w:pPr>
              <w:rPr>
                <w:b/>
                <w:sz w:val="22"/>
                <w:szCs w:val="22"/>
              </w:rPr>
            </w:pPr>
            <w:r w:rsidRPr="00506C7C">
              <w:rPr>
                <w:b/>
                <w:sz w:val="22"/>
                <w:szCs w:val="22"/>
              </w:rPr>
              <w:t>1027739504760</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1.5. ИНН эмитента</w:t>
            </w:r>
          </w:p>
        </w:tc>
        <w:tc>
          <w:tcPr>
            <w:tcW w:w="4706" w:type="dxa"/>
            <w:vAlign w:val="center"/>
          </w:tcPr>
          <w:p w:rsidR="00E91D50" w:rsidRPr="00506C7C" w:rsidRDefault="00E91D50" w:rsidP="009569EA">
            <w:pPr>
              <w:rPr>
                <w:b/>
                <w:sz w:val="22"/>
                <w:szCs w:val="22"/>
              </w:rPr>
            </w:pPr>
            <w:r w:rsidRPr="00506C7C">
              <w:rPr>
                <w:b/>
                <w:sz w:val="22"/>
                <w:szCs w:val="22"/>
              </w:rPr>
              <w:t>7729065633</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1.6. Уникальный код эмитента, присвоенный регистрирующим органом</w:t>
            </w:r>
          </w:p>
        </w:tc>
        <w:tc>
          <w:tcPr>
            <w:tcW w:w="4706" w:type="dxa"/>
            <w:vAlign w:val="center"/>
          </w:tcPr>
          <w:p w:rsidR="00E91D50" w:rsidRPr="00506C7C" w:rsidRDefault="00E91D50" w:rsidP="009569EA">
            <w:pPr>
              <w:rPr>
                <w:b/>
                <w:sz w:val="22"/>
                <w:szCs w:val="22"/>
              </w:rPr>
            </w:pPr>
            <w:r w:rsidRPr="00506C7C">
              <w:rPr>
                <w:b/>
                <w:sz w:val="22"/>
                <w:szCs w:val="22"/>
              </w:rPr>
              <w:t>02998В</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Default="00E91D50" w:rsidP="002F5B80">
            <w:r w:rsidRPr="00506C7C">
              <w:rPr>
                <w:b/>
                <w:color w:val="000000"/>
                <w:sz w:val="22"/>
                <w:szCs w:val="22"/>
              </w:rPr>
              <w:t xml:space="preserve">http://www.e-disclosure.ru/portal/company.aspx?id=7601, </w:t>
            </w:r>
          </w:p>
          <w:p w:rsidR="002F5B80" w:rsidRPr="00506C7C" w:rsidRDefault="002F5B80" w:rsidP="00B429EB">
            <w:pPr>
              <w:rPr>
                <w:b/>
                <w:color w:val="000000"/>
                <w:sz w:val="22"/>
                <w:szCs w:val="22"/>
              </w:rPr>
            </w:pPr>
            <w:r w:rsidRPr="0058053E">
              <w:rPr>
                <w:rStyle w:val="SUBST"/>
                <w:bCs w:val="0"/>
                <w:i w:val="0"/>
                <w:iCs w:val="0"/>
              </w:rPr>
              <w:t>http://expobank.ru</w:t>
            </w:r>
          </w:p>
        </w:tc>
      </w:tr>
      <w:tr w:rsidR="00E82841" w:rsidRPr="00506C7C" w:rsidTr="006C3863">
        <w:tc>
          <w:tcPr>
            <w:tcW w:w="5273" w:type="dxa"/>
            <w:vAlign w:val="center"/>
          </w:tcPr>
          <w:p w:rsidR="00E82841" w:rsidRPr="00506C7C" w:rsidRDefault="00E82841" w:rsidP="006E3CF5">
            <w:pPr>
              <w:ind w:left="57" w:right="57"/>
              <w:rPr>
                <w:sz w:val="22"/>
                <w:szCs w:val="22"/>
              </w:rPr>
            </w:pPr>
            <w:r w:rsidRPr="00F975E4">
              <w:rPr>
                <w:sz w:val="22"/>
                <w:szCs w:val="22"/>
              </w:rPr>
              <w:t>1.8.Дата наступления события (существенного факта), о котором составлено сообщение</w:t>
            </w:r>
          </w:p>
        </w:tc>
        <w:tc>
          <w:tcPr>
            <w:tcW w:w="4706" w:type="dxa"/>
            <w:vAlign w:val="center"/>
          </w:tcPr>
          <w:p w:rsidR="00E82841" w:rsidRPr="00506C7C" w:rsidRDefault="00B429EB" w:rsidP="00B429EB">
            <w:pPr>
              <w:rPr>
                <w:b/>
                <w:color w:val="000000"/>
                <w:sz w:val="22"/>
                <w:szCs w:val="22"/>
              </w:rPr>
            </w:pPr>
            <w:r>
              <w:rPr>
                <w:b/>
                <w:color w:val="000000"/>
                <w:sz w:val="22"/>
                <w:szCs w:val="22"/>
              </w:rPr>
              <w:t xml:space="preserve">13 апреля </w:t>
            </w:r>
            <w:r w:rsidR="00BE76AF">
              <w:rPr>
                <w:b/>
                <w:color w:val="000000"/>
                <w:sz w:val="22"/>
                <w:szCs w:val="22"/>
              </w:rPr>
              <w:t xml:space="preserve"> </w:t>
            </w:r>
            <w:r w:rsidR="00C73754">
              <w:rPr>
                <w:b/>
                <w:color w:val="000000"/>
                <w:sz w:val="22"/>
                <w:szCs w:val="22"/>
              </w:rPr>
              <w:t xml:space="preserve"> 20</w:t>
            </w:r>
            <w:r>
              <w:rPr>
                <w:b/>
                <w:color w:val="000000"/>
                <w:sz w:val="22"/>
                <w:szCs w:val="22"/>
              </w:rPr>
              <w:t xml:space="preserve">21 </w:t>
            </w:r>
            <w:r w:rsidR="00C73754">
              <w:rPr>
                <w:b/>
                <w:color w:val="000000"/>
                <w:sz w:val="22"/>
                <w:szCs w:val="22"/>
              </w:rPr>
              <w:t xml:space="preserve"> г.</w:t>
            </w:r>
          </w:p>
        </w:tc>
      </w:tr>
    </w:tbl>
    <w:p w:rsidR="003D6A44" w:rsidRPr="00506C7C" w:rsidRDefault="003D6A44">
      <w:pPr>
        <w:rPr>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3"/>
      </w:tblGrid>
      <w:tr w:rsidR="003D6A44" w:rsidRPr="00506C7C" w:rsidTr="007761E4">
        <w:tc>
          <w:tcPr>
            <w:tcW w:w="9923" w:type="dxa"/>
          </w:tcPr>
          <w:p w:rsidR="003D6A44" w:rsidRPr="00506C7C" w:rsidRDefault="002F5B80">
            <w:pPr>
              <w:jc w:val="center"/>
              <w:rPr>
                <w:sz w:val="22"/>
                <w:szCs w:val="22"/>
              </w:rPr>
            </w:pPr>
            <w:r>
              <w:rPr>
                <w:sz w:val="22"/>
                <w:szCs w:val="22"/>
              </w:rPr>
              <w:t>2. Содержание решения</w:t>
            </w:r>
          </w:p>
        </w:tc>
      </w:tr>
      <w:tr w:rsidR="003D6A44" w:rsidRPr="00506C7C" w:rsidTr="007761E4">
        <w:trPr>
          <w:trHeight w:val="1124"/>
        </w:trPr>
        <w:tc>
          <w:tcPr>
            <w:tcW w:w="9923" w:type="dxa"/>
          </w:tcPr>
          <w:p w:rsidR="00C262DF" w:rsidRPr="004C4BF3" w:rsidRDefault="004C4BF3" w:rsidP="004C4BF3">
            <w:pPr>
              <w:contextualSpacing/>
              <w:jc w:val="both"/>
              <w:rPr>
                <w:b/>
                <w:bCs/>
                <w:sz w:val="22"/>
                <w:szCs w:val="22"/>
              </w:rPr>
            </w:pPr>
            <w:r w:rsidRPr="004C4BF3">
              <w:rPr>
                <w:sz w:val="22"/>
                <w:szCs w:val="22"/>
              </w:rPr>
              <w:t xml:space="preserve">2.1. 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голосование): </w:t>
            </w:r>
            <w:r w:rsidRPr="004C4BF3">
              <w:rPr>
                <w:b/>
                <w:sz w:val="22"/>
                <w:szCs w:val="22"/>
              </w:rPr>
              <w:t>Общее собрание участников Эмитента; форма проведения заседания: заочное голосование.</w:t>
            </w:r>
            <w:r w:rsidRPr="004C4BF3">
              <w:rPr>
                <w:b/>
                <w:sz w:val="22"/>
                <w:szCs w:val="22"/>
              </w:rPr>
              <w:br/>
            </w:r>
            <w:r w:rsidRPr="004C4BF3">
              <w:rPr>
                <w:sz w:val="22"/>
                <w:szCs w:val="22"/>
              </w:rPr>
              <w:t xml:space="preserve">2.2. Дата и место проведения собрания (заседания) уполномоченного органа управления эмитента, на котором принято решение о размещении ценных бумаг: </w:t>
            </w:r>
            <w:r w:rsidR="00B429EB">
              <w:rPr>
                <w:b/>
                <w:sz w:val="22"/>
                <w:szCs w:val="22"/>
              </w:rPr>
              <w:t>13</w:t>
            </w:r>
            <w:r w:rsidRPr="004C4BF3">
              <w:rPr>
                <w:b/>
                <w:sz w:val="22"/>
                <w:szCs w:val="22"/>
              </w:rPr>
              <w:t xml:space="preserve"> </w:t>
            </w:r>
            <w:r w:rsidR="00B429EB">
              <w:rPr>
                <w:b/>
                <w:sz w:val="22"/>
                <w:szCs w:val="22"/>
              </w:rPr>
              <w:t xml:space="preserve">апреля </w:t>
            </w:r>
            <w:r w:rsidRPr="004C4BF3">
              <w:rPr>
                <w:b/>
                <w:sz w:val="22"/>
                <w:szCs w:val="22"/>
              </w:rPr>
              <w:t xml:space="preserve"> 20</w:t>
            </w:r>
            <w:r w:rsidR="00B429EB">
              <w:rPr>
                <w:b/>
                <w:sz w:val="22"/>
                <w:szCs w:val="22"/>
              </w:rPr>
              <w:t>21</w:t>
            </w:r>
            <w:r w:rsidRPr="004C4BF3">
              <w:rPr>
                <w:b/>
                <w:sz w:val="22"/>
                <w:szCs w:val="22"/>
              </w:rPr>
              <w:t xml:space="preserve"> г.; 107078, г. Москва, ул. Каланчёвская, д. 29, стр. 2.</w:t>
            </w:r>
            <w:r w:rsidRPr="004C4BF3">
              <w:rPr>
                <w:sz w:val="22"/>
                <w:szCs w:val="22"/>
              </w:rPr>
              <w:br/>
              <w:t xml:space="preserve">2.3. 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 </w:t>
            </w:r>
            <w:r w:rsidR="00B429EB">
              <w:rPr>
                <w:b/>
                <w:sz w:val="22"/>
                <w:szCs w:val="22"/>
              </w:rPr>
              <w:t xml:space="preserve">13 апреля </w:t>
            </w:r>
            <w:r w:rsidRPr="004C4BF3">
              <w:rPr>
                <w:b/>
                <w:sz w:val="22"/>
                <w:szCs w:val="22"/>
              </w:rPr>
              <w:t>20</w:t>
            </w:r>
            <w:r w:rsidR="00B429EB">
              <w:rPr>
                <w:b/>
                <w:sz w:val="22"/>
                <w:szCs w:val="22"/>
              </w:rPr>
              <w:t xml:space="preserve">21 </w:t>
            </w:r>
            <w:r w:rsidRPr="004C4BF3">
              <w:rPr>
                <w:b/>
                <w:sz w:val="22"/>
                <w:szCs w:val="22"/>
              </w:rPr>
              <w:t>г., Протокол № б/н</w:t>
            </w:r>
            <w:r w:rsidRPr="004C4BF3">
              <w:rPr>
                <w:b/>
                <w:sz w:val="22"/>
                <w:szCs w:val="22"/>
              </w:rPr>
              <w:br/>
            </w:r>
            <w:r w:rsidRPr="004C4BF3">
              <w:rPr>
                <w:sz w:val="22"/>
                <w:szCs w:val="22"/>
              </w:rPr>
              <w:t>2.4. Кворум и результаты голосования по вопросу о принятии решения о размещении ценных бумаг:</w:t>
            </w:r>
            <w:r w:rsidRPr="004C4BF3">
              <w:rPr>
                <w:sz w:val="22"/>
                <w:szCs w:val="22"/>
              </w:rPr>
              <w:br/>
            </w:r>
            <w:r w:rsidRPr="004C4BF3">
              <w:rPr>
                <w:b/>
                <w:sz w:val="22"/>
                <w:szCs w:val="22"/>
              </w:rPr>
              <w:t xml:space="preserve">Участие в голосовании приняли </w:t>
            </w:r>
            <w:r w:rsidR="00807608">
              <w:rPr>
                <w:b/>
                <w:sz w:val="22"/>
                <w:szCs w:val="22"/>
              </w:rPr>
              <w:t xml:space="preserve">100% </w:t>
            </w:r>
            <w:r w:rsidRPr="004C4BF3">
              <w:rPr>
                <w:b/>
                <w:sz w:val="22"/>
                <w:szCs w:val="22"/>
              </w:rPr>
              <w:t xml:space="preserve"> участников. Кворум имеется.</w:t>
            </w:r>
            <w:r w:rsidRPr="004C4BF3">
              <w:rPr>
                <w:b/>
                <w:sz w:val="22"/>
                <w:szCs w:val="22"/>
              </w:rPr>
              <w:br/>
              <w:t>Результаты голосования: «За» - 100%, «Против» - нет, «Воздержался» - нет.</w:t>
            </w:r>
            <w:r w:rsidRPr="004C4BF3">
              <w:rPr>
                <w:b/>
                <w:sz w:val="22"/>
                <w:szCs w:val="22"/>
              </w:rPr>
              <w:br/>
              <w:t>Решение принято.</w:t>
            </w:r>
            <w:r w:rsidRPr="004C4BF3">
              <w:rPr>
                <w:b/>
                <w:sz w:val="22"/>
                <w:szCs w:val="22"/>
              </w:rPr>
              <w:br/>
            </w:r>
            <w:r w:rsidRPr="004C4BF3">
              <w:rPr>
                <w:sz w:val="22"/>
                <w:szCs w:val="22"/>
              </w:rPr>
              <w:t>2.5. Полная формулировка принятого решения о размещении ценных бумаг:</w:t>
            </w:r>
          </w:p>
          <w:p w:rsidR="00B429EB" w:rsidRPr="00F50CBF" w:rsidRDefault="004C4763" w:rsidP="00B429EB">
            <w:pPr>
              <w:jc w:val="both"/>
              <w:rPr>
                <w:b/>
                <w:bCs/>
                <w:iCs/>
                <w:sz w:val="22"/>
                <w:szCs w:val="22"/>
              </w:rPr>
            </w:pPr>
            <w:r>
              <w:rPr>
                <w:b/>
                <w:sz w:val="22"/>
                <w:szCs w:val="22"/>
              </w:rPr>
              <w:t>«</w:t>
            </w:r>
            <w:r w:rsidR="00B429EB" w:rsidRPr="00F50CBF">
              <w:rPr>
                <w:b/>
                <w:sz w:val="22"/>
                <w:szCs w:val="22"/>
              </w:rPr>
              <w:t xml:space="preserve">Разместить  облигации  ООО «Экспобанк» (далее по тексту настоящего пункта – Кредитная организация – эмитент, Эмитент) </w:t>
            </w:r>
            <w:r w:rsidR="00B429EB" w:rsidRPr="00F50CBF">
              <w:rPr>
                <w:b/>
                <w:bCs/>
                <w:iCs/>
                <w:sz w:val="22"/>
                <w:szCs w:val="22"/>
              </w:rPr>
              <w:t xml:space="preserve">неконвертируемые процентные бездокументарные с централизованным учетом прав без установленного срока погашения, с возможностью погашения по усмотрению эмитента, предназначенные  для квалифицированных инвесторов, серии 02ВК,  </w:t>
            </w:r>
            <w:r w:rsidR="00B429EB" w:rsidRPr="00F50CBF">
              <w:rPr>
                <w:b/>
                <w:sz w:val="22"/>
                <w:szCs w:val="22"/>
              </w:rPr>
              <w:t xml:space="preserve">(далее по тексту настоящего пункта – Облигации),  </w:t>
            </w:r>
            <w:r w:rsidR="00B429EB" w:rsidRPr="00F50CBF">
              <w:rPr>
                <w:b/>
                <w:bCs/>
                <w:iCs/>
                <w:sz w:val="22"/>
                <w:szCs w:val="22"/>
              </w:rPr>
              <w:t>на следующих условиях:</w:t>
            </w:r>
          </w:p>
          <w:p w:rsidR="00B429EB" w:rsidRPr="00F50CBF" w:rsidRDefault="00B429EB" w:rsidP="00B429EB">
            <w:pPr>
              <w:jc w:val="both"/>
              <w:rPr>
                <w:b/>
                <w:sz w:val="22"/>
                <w:szCs w:val="22"/>
              </w:rPr>
            </w:pPr>
            <w:r w:rsidRPr="00F50CBF">
              <w:rPr>
                <w:b/>
                <w:sz w:val="22"/>
                <w:szCs w:val="22"/>
              </w:rPr>
              <w:t>1) Способ размещения облигаций: закрытая подписка.</w:t>
            </w:r>
          </w:p>
          <w:p w:rsidR="00B429EB" w:rsidRPr="00F50CBF" w:rsidRDefault="00B429EB" w:rsidP="00B429EB">
            <w:pPr>
              <w:jc w:val="both"/>
              <w:rPr>
                <w:b/>
                <w:sz w:val="22"/>
                <w:szCs w:val="22"/>
              </w:rPr>
            </w:pPr>
            <w:r w:rsidRPr="00F50CBF">
              <w:rPr>
                <w:b/>
                <w:sz w:val="22"/>
                <w:szCs w:val="22"/>
              </w:rPr>
              <w:t>2) Круг лиц, среди которых предполагается осуществить размещение облигаций: Квалифицированные инвесторы в силу федерального закона и иные лица, признанные квалифицированными инвесторами в силу Закона о рынке ценных бумаг.</w:t>
            </w:r>
          </w:p>
          <w:p w:rsidR="00B429EB" w:rsidRPr="00F50CBF" w:rsidRDefault="00B429EB" w:rsidP="00B429EB">
            <w:pPr>
              <w:jc w:val="both"/>
              <w:rPr>
                <w:b/>
                <w:sz w:val="22"/>
                <w:szCs w:val="22"/>
              </w:rPr>
            </w:pPr>
            <w:r w:rsidRPr="00F50CBF">
              <w:rPr>
                <w:b/>
                <w:sz w:val="22"/>
                <w:szCs w:val="22"/>
              </w:rPr>
              <w:t>3) Сумма номинальных стоимостей размещаемых облигаций: 60 000 000 (Шестьдесят миллионов)  долларов США.</w:t>
            </w:r>
          </w:p>
          <w:p w:rsidR="00B429EB" w:rsidRPr="00F50CBF" w:rsidRDefault="00B429EB" w:rsidP="00B429EB">
            <w:pPr>
              <w:jc w:val="both"/>
              <w:rPr>
                <w:b/>
                <w:bCs/>
                <w:i/>
                <w:iCs/>
                <w:sz w:val="22"/>
                <w:szCs w:val="22"/>
              </w:rPr>
            </w:pPr>
            <w:r w:rsidRPr="00F50CBF">
              <w:rPr>
                <w:b/>
                <w:sz w:val="22"/>
                <w:szCs w:val="22"/>
              </w:rPr>
              <w:t xml:space="preserve">4) Срок погашения размещаемых облигаций: </w:t>
            </w:r>
            <w:r w:rsidRPr="00F50CBF">
              <w:rPr>
                <w:b/>
                <w:bCs/>
                <w:iCs/>
                <w:sz w:val="22"/>
                <w:szCs w:val="22"/>
              </w:rPr>
              <w:t>срок погашения по Облигациям не определяется.</w:t>
            </w:r>
          </w:p>
          <w:p w:rsidR="00B429EB" w:rsidRPr="00F50CBF" w:rsidRDefault="00B429EB" w:rsidP="00B429EB">
            <w:pPr>
              <w:jc w:val="both"/>
              <w:rPr>
                <w:b/>
                <w:sz w:val="22"/>
                <w:szCs w:val="22"/>
              </w:rPr>
            </w:pPr>
            <w:r w:rsidRPr="00F50CBF">
              <w:rPr>
                <w:b/>
                <w:sz w:val="22"/>
                <w:szCs w:val="22"/>
              </w:rPr>
              <w:t>5) Способы исполнения обязательств  по облигациям с обеспечением: по Облигациям не предусмотрено обеспечение.</w:t>
            </w:r>
          </w:p>
          <w:p w:rsidR="00B429EB" w:rsidRPr="00F50CBF" w:rsidRDefault="00B429EB" w:rsidP="00B429EB">
            <w:pPr>
              <w:pStyle w:val="Default"/>
              <w:jc w:val="both"/>
              <w:rPr>
                <w:rFonts w:eastAsia="Calibri"/>
                <w:b/>
                <w:iCs/>
                <w:color w:val="auto"/>
                <w:sz w:val="22"/>
                <w:szCs w:val="22"/>
              </w:rPr>
            </w:pPr>
            <w:r w:rsidRPr="00F50CBF">
              <w:rPr>
                <w:b/>
                <w:sz w:val="22"/>
                <w:szCs w:val="22"/>
              </w:rPr>
              <w:t xml:space="preserve">6) Возможность досрочного погашения размещаемых облигаций по усмотрению эмитента: </w:t>
            </w:r>
            <w:r w:rsidRPr="00F50CBF">
              <w:rPr>
                <w:rFonts w:eastAsia="Calibri"/>
                <w:b/>
                <w:iCs/>
                <w:color w:val="auto"/>
                <w:sz w:val="22"/>
                <w:szCs w:val="22"/>
              </w:rPr>
              <w:t xml:space="preserve">предусмотрена возможность погашения Облигаций по усмотрению </w:t>
            </w:r>
            <w:r w:rsidRPr="00F50CBF">
              <w:rPr>
                <w:b/>
                <w:iCs/>
                <w:sz w:val="22"/>
                <w:szCs w:val="22"/>
              </w:rPr>
              <w:t>Кредитной организации - эмитента</w:t>
            </w:r>
            <w:r w:rsidRPr="00F50CBF">
              <w:rPr>
                <w:rFonts w:eastAsia="Calibri"/>
                <w:b/>
                <w:iCs/>
                <w:color w:val="auto"/>
                <w:sz w:val="22"/>
                <w:szCs w:val="22"/>
              </w:rPr>
              <w:t xml:space="preserve">. </w:t>
            </w:r>
          </w:p>
          <w:p w:rsidR="00B429EB" w:rsidRPr="00F50CBF" w:rsidRDefault="00B429EB" w:rsidP="00B429EB">
            <w:pPr>
              <w:adjustRightInd w:val="0"/>
              <w:jc w:val="both"/>
              <w:rPr>
                <w:b/>
                <w:sz w:val="22"/>
                <w:szCs w:val="22"/>
              </w:rPr>
            </w:pPr>
            <w:r w:rsidRPr="00F50CBF">
              <w:rPr>
                <w:b/>
                <w:sz w:val="22"/>
                <w:szCs w:val="22"/>
              </w:rPr>
              <w:t>7) Цена размещения облигаций или порядок ее определения:</w:t>
            </w:r>
          </w:p>
          <w:p w:rsidR="00B429EB" w:rsidRPr="00F50CBF" w:rsidRDefault="00B429EB" w:rsidP="00B429EB">
            <w:pPr>
              <w:pStyle w:val="Style9"/>
              <w:widowControl/>
              <w:spacing w:line="250" w:lineRule="exact"/>
              <w:ind w:right="5"/>
              <w:rPr>
                <w:rStyle w:val="FontStyle65"/>
                <w:b/>
                <w:sz w:val="22"/>
                <w:szCs w:val="22"/>
              </w:rPr>
            </w:pPr>
            <w:r w:rsidRPr="00F50CBF">
              <w:rPr>
                <w:rStyle w:val="FontStyle65"/>
                <w:b/>
                <w:sz w:val="22"/>
                <w:szCs w:val="22"/>
              </w:rPr>
              <w:t>Цена размещения Облигаций, устанавливается равной 150 000  (Сто пятьдесят  тысяч) долларов США за одну Облигацию, что соответствует 100 (Ста) процентам от ее номинальной стоимости.</w:t>
            </w:r>
          </w:p>
          <w:p w:rsidR="00B429EB" w:rsidRPr="00F50CBF" w:rsidRDefault="00B429EB" w:rsidP="00B429EB">
            <w:pPr>
              <w:pStyle w:val="Default"/>
              <w:jc w:val="both"/>
              <w:rPr>
                <w:rStyle w:val="FontStyle65"/>
                <w:b/>
                <w:sz w:val="22"/>
                <w:szCs w:val="22"/>
              </w:rPr>
            </w:pPr>
            <w:r w:rsidRPr="00F50CBF">
              <w:rPr>
                <w:rStyle w:val="FontStyle65"/>
                <w:b/>
                <w:sz w:val="22"/>
                <w:szCs w:val="22"/>
              </w:rPr>
              <w:t xml:space="preserve">Начиная со второго дня размещения Облигаций, покупатель Облигаций при приобретении </w:t>
            </w:r>
            <w:r w:rsidRPr="00F50CBF">
              <w:rPr>
                <w:rStyle w:val="FontStyle65"/>
                <w:b/>
                <w:sz w:val="22"/>
                <w:szCs w:val="22"/>
              </w:rPr>
              <w:lastRenderedPageBreak/>
              <w:t>Облигаций помимо цены размещения также уплачивает накопленный купонный доход.</w:t>
            </w:r>
          </w:p>
          <w:p w:rsidR="00B429EB" w:rsidRPr="00F50CBF" w:rsidRDefault="00B429EB" w:rsidP="00B429EB">
            <w:pPr>
              <w:adjustRightInd w:val="0"/>
              <w:jc w:val="both"/>
              <w:rPr>
                <w:b/>
                <w:sz w:val="22"/>
                <w:szCs w:val="22"/>
              </w:rPr>
            </w:pPr>
            <w:r w:rsidRPr="00F50CBF">
              <w:rPr>
                <w:rStyle w:val="FontStyle65"/>
                <w:b/>
                <w:sz w:val="22"/>
                <w:szCs w:val="22"/>
              </w:rPr>
              <w:t>8)</w:t>
            </w:r>
            <w:r w:rsidRPr="00F50CBF">
              <w:rPr>
                <w:rStyle w:val="FontStyle65"/>
                <w:b/>
                <w:i/>
                <w:sz w:val="22"/>
                <w:szCs w:val="22"/>
              </w:rPr>
              <w:t xml:space="preserve"> </w:t>
            </w:r>
            <w:r w:rsidRPr="00F50CBF">
              <w:rPr>
                <w:b/>
                <w:sz w:val="22"/>
                <w:szCs w:val="22"/>
              </w:rPr>
              <w:t>Срок или порядок определения срока размещения облигаций:</w:t>
            </w:r>
          </w:p>
          <w:p w:rsidR="00B429EB" w:rsidRPr="00F50CBF" w:rsidRDefault="00B429EB" w:rsidP="00B429EB">
            <w:pPr>
              <w:pStyle w:val="1"/>
              <w:keepNext w:val="0"/>
              <w:widowControl w:val="0"/>
              <w:numPr>
                <w:ilvl w:val="0"/>
                <w:numId w:val="0"/>
              </w:numPr>
              <w:autoSpaceDE w:val="0"/>
              <w:autoSpaceDN w:val="0"/>
              <w:adjustRightInd w:val="0"/>
              <w:spacing w:before="0"/>
              <w:rPr>
                <w:i w:val="0"/>
              </w:rPr>
            </w:pPr>
            <w:r w:rsidRPr="00F50CBF">
              <w:rPr>
                <w:i w:val="0"/>
              </w:rPr>
              <w:t>Дата начала размещения Облигаций определяется единоличным исполнительным органом Эмитента после регистрации выпуска Облигаций. Датой окончания размещения Облигаций является более ранняя из следующих дат:</w:t>
            </w:r>
          </w:p>
          <w:p w:rsidR="00B429EB" w:rsidRPr="00F50CBF" w:rsidRDefault="00B429EB" w:rsidP="00B429EB">
            <w:pPr>
              <w:jc w:val="both"/>
              <w:rPr>
                <w:b/>
                <w:bCs/>
                <w:iCs/>
                <w:sz w:val="22"/>
                <w:szCs w:val="22"/>
              </w:rPr>
            </w:pPr>
            <w:r w:rsidRPr="00F50CBF">
              <w:rPr>
                <w:b/>
                <w:bCs/>
                <w:iCs/>
                <w:sz w:val="22"/>
                <w:szCs w:val="22"/>
              </w:rPr>
              <w:t>1) 5 (Пятый) рабочий день с даты начала размещения Облигаций; или</w:t>
            </w:r>
          </w:p>
          <w:p w:rsidR="00B429EB" w:rsidRPr="00F50CBF" w:rsidRDefault="00B429EB" w:rsidP="00B429EB">
            <w:pPr>
              <w:pStyle w:val="BodyTextbt"/>
              <w:rPr>
                <w:bCs w:val="0"/>
                <w:i w:val="0"/>
              </w:rPr>
            </w:pPr>
            <w:r w:rsidRPr="00F50CBF">
              <w:rPr>
                <w:bCs w:val="0"/>
                <w:i w:val="0"/>
              </w:rPr>
              <w:t xml:space="preserve">2) дата размещения последней </w:t>
            </w:r>
            <w:r w:rsidRPr="00F50CBF">
              <w:rPr>
                <w:rStyle w:val="SUBST"/>
                <w:b/>
              </w:rPr>
              <w:t>Облигации</w:t>
            </w:r>
            <w:r w:rsidRPr="00F50CBF">
              <w:rPr>
                <w:bCs w:val="0"/>
                <w:i w:val="0"/>
              </w:rPr>
              <w:t xml:space="preserve"> данного выпуска.</w:t>
            </w:r>
          </w:p>
          <w:p w:rsidR="00B429EB" w:rsidRPr="00F50CBF" w:rsidRDefault="00B429EB" w:rsidP="00B429EB">
            <w:pPr>
              <w:pStyle w:val="BodyTextbt"/>
              <w:rPr>
                <w:bCs w:val="0"/>
                <w:i w:val="0"/>
              </w:rPr>
            </w:pPr>
          </w:p>
          <w:p w:rsidR="00B429EB" w:rsidRPr="00F50CBF" w:rsidRDefault="00B429EB" w:rsidP="00B429EB">
            <w:pPr>
              <w:adjustRightInd w:val="0"/>
              <w:jc w:val="both"/>
              <w:rPr>
                <w:b/>
                <w:sz w:val="22"/>
                <w:szCs w:val="22"/>
              </w:rPr>
            </w:pPr>
            <w:r w:rsidRPr="00F50CBF">
              <w:rPr>
                <w:b/>
                <w:bCs/>
                <w:sz w:val="22"/>
                <w:szCs w:val="22"/>
              </w:rPr>
              <w:t xml:space="preserve">9) </w:t>
            </w:r>
            <w:r w:rsidRPr="00F50CBF">
              <w:rPr>
                <w:b/>
                <w:sz w:val="22"/>
                <w:szCs w:val="22"/>
              </w:rPr>
              <w:t>Форма, порядок и срок оплаты размещаемых облигаций:</w:t>
            </w:r>
          </w:p>
          <w:p w:rsidR="00B429EB" w:rsidRPr="00F50CBF" w:rsidRDefault="00B429EB" w:rsidP="00B429EB">
            <w:pPr>
              <w:widowControl w:val="0"/>
              <w:jc w:val="both"/>
              <w:rPr>
                <w:b/>
                <w:bCs/>
                <w:iCs/>
                <w:sz w:val="22"/>
                <w:szCs w:val="22"/>
              </w:rPr>
            </w:pPr>
            <w:r w:rsidRPr="00F50CBF">
              <w:rPr>
                <w:b/>
                <w:bCs/>
                <w:iCs/>
                <w:sz w:val="22"/>
                <w:szCs w:val="22"/>
              </w:rPr>
              <w:t>При приобретении Облигации оплачиваются денежными средствами в безналичном порядке в долларах США.</w:t>
            </w:r>
          </w:p>
          <w:p w:rsidR="00B429EB" w:rsidRPr="00F50CBF" w:rsidRDefault="00B429EB" w:rsidP="00B429EB">
            <w:pPr>
              <w:adjustRightInd w:val="0"/>
              <w:jc w:val="both"/>
              <w:rPr>
                <w:b/>
                <w:iCs/>
                <w:spacing w:val="-2"/>
                <w:sz w:val="22"/>
                <w:szCs w:val="22"/>
              </w:rPr>
            </w:pPr>
            <w:r w:rsidRPr="00F50CBF">
              <w:rPr>
                <w:b/>
                <w:iCs/>
                <w:spacing w:val="-2"/>
                <w:sz w:val="22"/>
                <w:szCs w:val="22"/>
              </w:rPr>
              <w:t>Расчеты по сделкам купли-продажи ценных бумаг при их размещении производится на условиях «поставка против платежа», в соответствии с правилами осуществления клиринговой деятельности клиринговой организации, обслуживающей расчеты по сделкам на Бирже.</w:t>
            </w:r>
          </w:p>
          <w:p w:rsidR="00B429EB" w:rsidRPr="00F50CBF" w:rsidRDefault="00B429EB" w:rsidP="00B429EB">
            <w:pPr>
              <w:spacing w:after="120"/>
              <w:jc w:val="both"/>
              <w:rPr>
                <w:b/>
                <w:iCs/>
                <w:spacing w:val="-2"/>
                <w:sz w:val="22"/>
                <w:szCs w:val="22"/>
              </w:rPr>
            </w:pPr>
            <w:r w:rsidRPr="00F50CBF">
              <w:rPr>
                <w:b/>
                <w:iCs/>
                <w:spacing w:val="-2"/>
                <w:sz w:val="22"/>
                <w:szCs w:val="22"/>
              </w:rPr>
              <w:t>Оплата владельцами (приобретателями) Облигаций в неденежной форме не допускается.</w:t>
            </w:r>
          </w:p>
          <w:p w:rsidR="00B429EB" w:rsidRPr="00F50CBF" w:rsidRDefault="00B429EB" w:rsidP="00B429EB">
            <w:pPr>
              <w:adjustRightInd w:val="0"/>
              <w:jc w:val="both"/>
              <w:rPr>
                <w:b/>
                <w:sz w:val="22"/>
                <w:szCs w:val="22"/>
              </w:rPr>
            </w:pPr>
            <w:r w:rsidRPr="00F50CBF">
              <w:rPr>
                <w:b/>
                <w:sz w:val="22"/>
                <w:szCs w:val="22"/>
              </w:rPr>
              <w:t>10) Порядок заключения договоров в ходе размещения облигаций:</w:t>
            </w:r>
          </w:p>
          <w:p w:rsidR="00B429EB" w:rsidRPr="00F50CBF" w:rsidRDefault="00B429EB" w:rsidP="00B429EB">
            <w:pPr>
              <w:pStyle w:val="BodyTextbt"/>
              <w:rPr>
                <w:i w:val="0"/>
              </w:rPr>
            </w:pPr>
            <w:r w:rsidRPr="00F50CBF">
              <w:rPr>
                <w:i w:val="0"/>
              </w:rPr>
              <w:t>Размещение Облигаций производится путем заключения сделок купли-продажи по цене размещения Облигаций. Заключение сделок по размещению Облигаций производится в соответствии с Правилами Биржи, зарегистрированными в установленном порядке, и действующим законодательством.</w:t>
            </w:r>
          </w:p>
          <w:p w:rsidR="00B429EB" w:rsidRPr="00F50CBF" w:rsidRDefault="00B429EB" w:rsidP="00B429EB">
            <w:pPr>
              <w:adjustRightInd w:val="0"/>
              <w:jc w:val="both"/>
              <w:rPr>
                <w:b/>
                <w:sz w:val="22"/>
                <w:szCs w:val="22"/>
              </w:rPr>
            </w:pPr>
            <w:r w:rsidRPr="00F50CBF">
              <w:rPr>
                <w:b/>
                <w:bCs/>
                <w:sz w:val="22"/>
                <w:szCs w:val="22"/>
              </w:rPr>
              <w:t xml:space="preserve">11) </w:t>
            </w:r>
            <w:r w:rsidRPr="00F50CBF">
              <w:rPr>
                <w:b/>
                <w:sz w:val="22"/>
                <w:szCs w:val="22"/>
              </w:rPr>
              <w:t>Доход или порядок определения дохода по облигациям:</w:t>
            </w:r>
          </w:p>
          <w:p w:rsidR="00B429EB" w:rsidRPr="00F50CBF" w:rsidRDefault="00B429EB" w:rsidP="00B429EB">
            <w:pPr>
              <w:adjustRightInd w:val="0"/>
              <w:jc w:val="both"/>
              <w:rPr>
                <w:b/>
                <w:bCs/>
                <w:sz w:val="22"/>
                <w:szCs w:val="22"/>
              </w:rPr>
            </w:pPr>
            <w:r w:rsidRPr="00F50CBF">
              <w:rPr>
                <w:b/>
                <w:bCs/>
                <w:sz w:val="22"/>
                <w:szCs w:val="22"/>
              </w:rPr>
              <w:t>Размер дохода по Облигациям за каждый купонный период устанавливается в цифровом выражении в виде процента от номинальной стоимости (непогашенной части номинальной стоимости) Облигации.</w:t>
            </w:r>
          </w:p>
          <w:p w:rsidR="00B429EB" w:rsidRPr="00F50CBF" w:rsidRDefault="00B429EB" w:rsidP="00B429EB">
            <w:pPr>
              <w:pStyle w:val="TableText"/>
              <w:jc w:val="both"/>
              <w:rPr>
                <w:b/>
                <w:sz w:val="22"/>
                <w:szCs w:val="22"/>
              </w:rPr>
            </w:pPr>
            <w:r w:rsidRPr="00F50CBF">
              <w:rPr>
                <w:b/>
                <w:bCs/>
                <w:sz w:val="22"/>
                <w:szCs w:val="22"/>
              </w:rPr>
              <w:t>Доходом по Облигациям является сумма купонных доходов, начисляемых за каждый купонный период и выплачиваемых в дату окончания соответствующего купонного периода.</w:t>
            </w:r>
            <w:r w:rsidRPr="00F50CBF">
              <w:rPr>
                <w:b/>
                <w:sz w:val="22"/>
                <w:szCs w:val="22"/>
              </w:rPr>
              <w:t xml:space="preserve"> </w:t>
            </w:r>
          </w:p>
          <w:p w:rsidR="00B429EB" w:rsidRPr="00F50CBF" w:rsidRDefault="00B429EB" w:rsidP="00B429EB">
            <w:pPr>
              <w:pStyle w:val="TableText"/>
              <w:jc w:val="both"/>
              <w:rPr>
                <w:b/>
                <w:bCs/>
                <w:sz w:val="22"/>
                <w:szCs w:val="22"/>
              </w:rPr>
            </w:pPr>
            <w:r w:rsidRPr="00F50CBF">
              <w:rPr>
                <w:b/>
                <w:bCs/>
                <w:sz w:val="22"/>
                <w:szCs w:val="22"/>
              </w:rPr>
              <w:t>Период обращения Облигаций разделен на купонные периоды, длительность каждого из которых, устанавливается равной 182 (Ста восьмидесяти двум) дням.</w:t>
            </w:r>
          </w:p>
          <w:p w:rsidR="00B429EB" w:rsidRPr="00F50CBF" w:rsidRDefault="00B429EB" w:rsidP="00B429EB">
            <w:pPr>
              <w:adjustRightInd w:val="0"/>
              <w:spacing w:before="120" w:after="120"/>
              <w:jc w:val="both"/>
              <w:rPr>
                <w:b/>
                <w:bCs/>
                <w:iCs/>
                <w:sz w:val="22"/>
                <w:szCs w:val="22"/>
              </w:rPr>
            </w:pPr>
            <w:r w:rsidRPr="00F50CBF">
              <w:rPr>
                <w:b/>
                <w:bCs/>
                <w:iCs/>
                <w:sz w:val="22"/>
                <w:szCs w:val="22"/>
              </w:rPr>
              <w:t>Датой начала первого купонного периода является дата начала размещения Облигаций.</w:t>
            </w:r>
          </w:p>
          <w:p w:rsidR="00B429EB" w:rsidRPr="00F50CBF" w:rsidRDefault="00B429EB" w:rsidP="00B429EB">
            <w:pPr>
              <w:adjustRightInd w:val="0"/>
              <w:spacing w:before="120" w:after="120"/>
              <w:jc w:val="both"/>
              <w:rPr>
                <w:b/>
                <w:bCs/>
                <w:iCs/>
                <w:sz w:val="22"/>
                <w:szCs w:val="22"/>
              </w:rPr>
            </w:pPr>
            <w:r w:rsidRPr="00F50CBF">
              <w:rPr>
                <w:b/>
                <w:bCs/>
                <w:iCs/>
                <w:sz w:val="22"/>
                <w:szCs w:val="22"/>
              </w:rPr>
              <w:t>1)</w:t>
            </w:r>
            <w:r w:rsidRPr="00F50CBF">
              <w:rPr>
                <w:b/>
                <w:bCs/>
                <w:iCs/>
                <w:sz w:val="22"/>
                <w:szCs w:val="22"/>
              </w:rPr>
              <w:tab/>
              <w:t>Порядок определения процентной ставки по первому купону:</w:t>
            </w:r>
          </w:p>
          <w:p w:rsidR="00B429EB" w:rsidRPr="00F50CBF" w:rsidRDefault="00B429EB" w:rsidP="00B429EB">
            <w:pPr>
              <w:adjustRightInd w:val="0"/>
              <w:spacing w:before="120" w:after="120"/>
              <w:jc w:val="both"/>
              <w:rPr>
                <w:b/>
                <w:bCs/>
                <w:iCs/>
                <w:sz w:val="22"/>
                <w:szCs w:val="22"/>
              </w:rPr>
            </w:pPr>
            <w:r w:rsidRPr="00F50CBF">
              <w:rPr>
                <w:b/>
                <w:bCs/>
                <w:iCs/>
                <w:sz w:val="22"/>
                <w:szCs w:val="22"/>
              </w:rPr>
              <w:t>Процентная ставка по первому купону определяется решением уполномоченного органа управления Кредитной организации - эмитента не позднее, чем за 1 (Один) день до Даты начала размещения Облигаций.</w:t>
            </w:r>
          </w:p>
          <w:p w:rsidR="00B429EB" w:rsidRPr="00F50CBF" w:rsidRDefault="00B429EB" w:rsidP="00B429EB">
            <w:pPr>
              <w:adjustRightInd w:val="0"/>
              <w:spacing w:before="120" w:after="120"/>
              <w:jc w:val="both"/>
              <w:rPr>
                <w:b/>
                <w:bCs/>
                <w:iCs/>
                <w:sz w:val="22"/>
                <w:szCs w:val="22"/>
              </w:rPr>
            </w:pPr>
            <w:r w:rsidRPr="00F50CBF">
              <w:rPr>
                <w:b/>
                <w:bCs/>
                <w:iCs/>
                <w:sz w:val="22"/>
                <w:szCs w:val="22"/>
              </w:rPr>
              <w:t>2)</w:t>
            </w:r>
            <w:r w:rsidRPr="00F50CBF">
              <w:rPr>
                <w:b/>
                <w:bCs/>
                <w:iCs/>
                <w:sz w:val="22"/>
                <w:szCs w:val="22"/>
              </w:rPr>
              <w:tab/>
              <w:t>Порядок определения процентных ставок купонов начиная со второго:</w:t>
            </w:r>
          </w:p>
          <w:p w:rsidR="00B429EB" w:rsidRPr="00F50CBF" w:rsidRDefault="00B429EB" w:rsidP="00B429EB">
            <w:pPr>
              <w:adjustRightInd w:val="0"/>
              <w:spacing w:before="120" w:after="120"/>
              <w:jc w:val="both"/>
              <w:rPr>
                <w:b/>
                <w:bCs/>
                <w:iCs/>
                <w:sz w:val="22"/>
                <w:szCs w:val="22"/>
              </w:rPr>
            </w:pPr>
            <w:r w:rsidRPr="00F50CBF">
              <w:rPr>
                <w:b/>
                <w:bCs/>
                <w:iCs/>
                <w:sz w:val="22"/>
                <w:szCs w:val="22"/>
              </w:rPr>
              <w:t>Одновременно с определением процентной ставки по первому купону уполномоченный орган управления Кредитной организации - эмитента определяет количество последующих, идущих друг за другом купонных периодов начиная со второго купонного периода, процентная ставка, по которым устанавливается равной процентной ставке по первому купону. При этом количество купонных периодов процентная ставка, по которым может быть установлена равной процентной ставке по первому купону, не может быть меньше 11 (Одиннадцати) купонных периодов.</w:t>
            </w:r>
          </w:p>
          <w:p w:rsidR="00B429EB" w:rsidRPr="00F50CBF" w:rsidRDefault="00B429EB" w:rsidP="00B429EB">
            <w:pPr>
              <w:adjustRightInd w:val="0"/>
              <w:spacing w:before="120" w:after="120"/>
              <w:jc w:val="both"/>
              <w:rPr>
                <w:b/>
                <w:bCs/>
                <w:iCs/>
                <w:sz w:val="22"/>
                <w:szCs w:val="22"/>
              </w:rPr>
            </w:pPr>
            <w:r w:rsidRPr="00F50CBF">
              <w:rPr>
                <w:b/>
                <w:bCs/>
                <w:iCs/>
                <w:sz w:val="22"/>
                <w:szCs w:val="22"/>
              </w:rPr>
              <w:t>В случае, если Облигации не будут погашены по усмотрению Кредитной организацией - эмитента в дату окончания последнего купонного периода, ставка по которому установлена ранее, размер процентной ставки на каждые последующие идущие друг за другом 11 (Одиннадцать) купонных периодов периода обращения Облигаций (далее – «Очередная часть периода обращения Облигаций») определяются по следующей формуле с переменными, значения которых не могут изменяться в зависимости от усмотрения Кредитной организацией - эмитента в числовом выражении в дату определения новой ставки купона, которая наступает в 7 (Седьмой) рабочий день до даты начала Очередной части периода обращения Облигаций (далее - Дата определения новой ставки купона):</w:t>
            </w:r>
          </w:p>
          <w:p w:rsidR="00B429EB" w:rsidRPr="00F50CBF" w:rsidRDefault="00B429EB" w:rsidP="00B429EB">
            <w:pPr>
              <w:adjustRightInd w:val="0"/>
              <w:spacing w:before="120" w:after="120"/>
              <w:jc w:val="both"/>
              <w:rPr>
                <w:b/>
                <w:bCs/>
                <w:iCs/>
                <w:sz w:val="22"/>
                <w:szCs w:val="22"/>
              </w:rPr>
            </w:pPr>
            <w:r w:rsidRPr="00F50CBF">
              <w:rPr>
                <w:b/>
                <w:bCs/>
                <w:iCs/>
                <w:sz w:val="22"/>
                <w:szCs w:val="22"/>
              </w:rPr>
              <w:t>Ск = R + m +100 б.п., где:</w:t>
            </w:r>
          </w:p>
          <w:p w:rsidR="00B429EB" w:rsidRPr="00F50CBF" w:rsidRDefault="00B429EB" w:rsidP="00B429EB">
            <w:pPr>
              <w:adjustRightInd w:val="0"/>
              <w:spacing w:before="120" w:after="120"/>
              <w:jc w:val="both"/>
              <w:rPr>
                <w:b/>
                <w:bCs/>
                <w:iCs/>
                <w:sz w:val="22"/>
                <w:szCs w:val="22"/>
              </w:rPr>
            </w:pPr>
            <w:r w:rsidRPr="00F50CBF">
              <w:rPr>
                <w:b/>
                <w:bCs/>
                <w:iCs/>
                <w:sz w:val="22"/>
                <w:szCs w:val="22"/>
              </w:rPr>
              <w:t>где:</w:t>
            </w:r>
          </w:p>
          <w:p w:rsidR="00B429EB" w:rsidRPr="00F50CBF" w:rsidRDefault="00B429EB" w:rsidP="00B429EB">
            <w:pPr>
              <w:adjustRightInd w:val="0"/>
              <w:jc w:val="both"/>
              <w:rPr>
                <w:b/>
                <w:bCs/>
                <w:iCs/>
                <w:sz w:val="22"/>
                <w:szCs w:val="22"/>
              </w:rPr>
            </w:pPr>
            <w:r w:rsidRPr="00F50CBF">
              <w:rPr>
                <w:b/>
                <w:bCs/>
                <w:iCs/>
                <w:sz w:val="22"/>
                <w:szCs w:val="22"/>
              </w:rPr>
              <w:t>Ск - процентная ставка к-ых купонов (к - купонные периоды Очередной части периода обращения Облигаций)</w:t>
            </w:r>
          </w:p>
          <w:p w:rsidR="00B429EB" w:rsidRPr="00F50CBF" w:rsidRDefault="00B429EB" w:rsidP="00B429EB">
            <w:pPr>
              <w:adjustRightInd w:val="0"/>
              <w:spacing w:before="120" w:after="120"/>
              <w:jc w:val="both"/>
              <w:rPr>
                <w:b/>
                <w:bCs/>
                <w:iCs/>
                <w:sz w:val="22"/>
                <w:szCs w:val="22"/>
              </w:rPr>
            </w:pPr>
            <w:r w:rsidRPr="00F50CBF">
              <w:rPr>
                <w:b/>
                <w:bCs/>
                <w:iCs/>
                <w:sz w:val="22"/>
                <w:szCs w:val="22"/>
              </w:rPr>
              <w:t xml:space="preserve">R - ставка по казначейским облигациям США, равная доходности, указанной в отчете «Selected Interest Rates (Daily) - H.15» (или в любом заменяющем его впоследствии источнике), </w:t>
            </w:r>
            <w:r w:rsidRPr="00F50CBF">
              <w:rPr>
                <w:b/>
                <w:bCs/>
                <w:iCs/>
                <w:sz w:val="22"/>
                <w:szCs w:val="22"/>
              </w:rPr>
              <w:lastRenderedPageBreak/>
              <w:t>публикуемом Федеральной резервной системой США (ее правопреемником или иным органом, осуществляющий функции Федеральной резервной системы США), по находящимся в обращении казначейским облигациям США со сроком погашения, равным 7 годам, на дату, наступающую за 1 (Один) рабочий день до истечения Даты определения новой ставки купона.</w:t>
            </w:r>
          </w:p>
          <w:p w:rsidR="00B429EB" w:rsidRPr="00F50CBF" w:rsidRDefault="00B429EB" w:rsidP="00B429EB">
            <w:pPr>
              <w:adjustRightInd w:val="0"/>
              <w:spacing w:before="120" w:after="120"/>
              <w:jc w:val="both"/>
              <w:rPr>
                <w:b/>
                <w:bCs/>
                <w:iCs/>
                <w:sz w:val="22"/>
                <w:szCs w:val="22"/>
              </w:rPr>
            </w:pPr>
            <w:r w:rsidRPr="00F50CBF">
              <w:rPr>
                <w:b/>
                <w:bCs/>
                <w:iCs/>
                <w:sz w:val="22"/>
                <w:szCs w:val="22"/>
              </w:rPr>
              <w:t>В случае, если за 1 рабочий день до Даты определения новой ставки купона  отчет «Selected Interest Rates (Daily) - H.15» (или любой заменяющий его впоследствии источник) не публикуется Федеральной резервной системой США (ее правопреемником или иным органом, осуществляющий функции Федеральной резервной системы США), то величина R определяется как значение публикуемого в информационной системе Bloomberg Terminal, предоставляемой компанией Bloomberg L.P. индекса «US Generic Govt 7 Year Yields» на Дату определения новой ставки купона.</w:t>
            </w:r>
          </w:p>
          <w:p w:rsidR="00B429EB" w:rsidRPr="00F50CBF" w:rsidRDefault="00B429EB" w:rsidP="00B429EB">
            <w:pPr>
              <w:adjustRightInd w:val="0"/>
              <w:spacing w:before="120" w:after="120"/>
              <w:jc w:val="both"/>
              <w:rPr>
                <w:b/>
                <w:bCs/>
                <w:iCs/>
                <w:sz w:val="22"/>
                <w:szCs w:val="22"/>
              </w:rPr>
            </w:pPr>
            <w:r w:rsidRPr="00F50CBF">
              <w:rPr>
                <w:b/>
                <w:bCs/>
                <w:iCs/>
                <w:sz w:val="22"/>
                <w:szCs w:val="22"/>
              </w:rPr>
              <w:t>В случае, если на Дату определения новой ставки купона казначейские облигации США отсутствуют в обращении, величина R определяется как верхнее значение диапазона ключевой ставки Федеральной резервной системы США (или иной аналогичной ставки, если на Дату определения новой ставки ключевая ставка Федеральной резервной системы США не будет установлена), действующей на Дату определения новой ставки, увеличенное на 150 базисных пунктов.</w:t>
            </w:r>
          </w:p>
          <w:p w:rsidR="00B429EB" w:rsidRPr="00F50CBF" w:rsidRDefault="00B429EB" w:rsidP="00B429EB">
            <w:pPr>
              <w:adjustRightInd w:val="0"/>
              <w:spacing w:before="120" w:after="120"/>
              <w:jc w:val="both"/>
              <w:rPr>
                <w:b/>
                <w:bCs/>
                <w:iCs/>
                <w:sz w:val="22"/>
                <w:szCs w:val="22"/>
              </w:rPr>
            </w:pPr>
            <w:r w:rsidRPr="00F50CBF">
              <w:rPr>
                <w:b/>
                <w:bCs/>
                <w:iCs/>
                <w:sz w:val="22"/>
                <w:szCs w:val="22"/>
              </w:rPr>
              <w:t xml:space="preserve">m - величина в базисных пунктах, определяемая Эмитентом перед датой начала размещения Облигаций, но не позднее, чем за 1 (Один) день до даты начала размещения Облигаций; </w:t>
            </w:r>
          </w:p>
          <w:p w:rsidR="00B429EB" w:rsidRPr="00F50CBF" w:rsidRDefault="00B429EB" w:rsidP="00B429EB">
            <w:pPr>
              <w:adjustRightInd w:val="0"/>
              <w:spacing w:before="120" w:after="120"/>
              <w:jc w:val="both"/>
              <w:rPr>
                <w:b/>
                <w:bCs/>
                <w:iCs/>
                <w:sz w:val="22"/>
                <w:szCs w:val="22"/>
              </w:rPr>
            </w:pPr>
            <w:r w:rsidRPr="00F50CBF">
              <w:rPr>
                <w:b/>
                <w:bCs/>
                <w:iCs/>
                <w:sz w:val="22"/>
                <w:szCs w:val="22"/>
              </w:rPr>
              <w:t>б.п. - базисный пункт, равный одной сотой процента.</w:t>
            </w:r>
          </w:p>
          <w:p w:rsidR="00B429EB" w:rsidRPr="00F50CBF" w:rsidRDefault="00B429EB" w:rsidP="00B429EB">
            <w:pPr>
              <w:adjustRightInd w:val="0"/>
              <w:spacing w:before="120" w:after="120"/>
              <w:jc w:val="both"/>
              <w:rPr>
                <w:b/>
                <w:bCs/>
                <w:iCs/>
                <w:sz w:val="22"/>
                <w:szCs w:val="22"/>
              </w:rPr>
            </w:pPr>
            <w:r w:rsidRPr="00F50CBF">
              <w:rPr>
                <w:b/>
                <w:bCs/>
                <w:iCs/>
                <w:sz w:val="22"/>
                <w:szCs w:val="22"/>
              </w:rPr>
              <w:t>При этом в любом случае размер процентной ставки каждого купонного периода Облигаций не может превышать предельную величину процентной ставки по субординированному обязательству,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p>
          <w:p w:rsidR="00B429EB" w:rsidRPr="00F50CBF" w:rsidRDefault="00B429EB" w:rsidP="00B429EB">
            <w:pPr>
              <w:adjustRightInd w:val="0"/>
              <w:spacing w:before="120" w:after="120"/>
              <w:jc w:val="both"/>
              <w:rPr>
                <w:b/>
                <w:bCs/>
                <w:iCs/>
                <w:sz w:val="22"/>
                <w:szCs w:val="22"/>
              </w:rPr>
            </w:pPr>
            <w:r w:rsidRPr="00F50CBF">
              <w:rPr>
                <w:b/>
                <w:bCs/>
                <w:iCs/>
                <w:sz w:val="22"/>
                <w:szCs w:val="22"/>
              </w:rPr>
              <w:t>В случае превышения размера процентной ставки какого-либо из купонных периодов Облигаций предельной величины процентной ставки по субординированному обязательству 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 действует процентная ставка равная предельной величине процентной ставки по субординированному обязательству 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p>
          <w:p w:rsidR="00B429EB" w:rsidRPr="00F50CBF" w:rsidRDefault="00B429EB" w:rsidP="00B429EB">
            <w:pPr>
              <w:pStyle w:val="Style24"/>
              <w:widowControl/>
              <w:ind w:right="10" w:firstLine="0"/>
              <w:rPr>
                <w:rStyle w:val="FontStyle65"/>
                <w:b/>
                <w:sz w:val="22"/>
                <w:szCs w:val="22"/>
              </w:rPr>
            </w:pPr>
            <w:r w:rsidRPr="00F50CBF">
              <w:rPr>
                <w:rStyle w:val="FontStyle65"/>
                <w:b/>
                <w:sz w:val="22"/>
                <w:szCs w:val="22"/>
              </w:rPr>
              <w:t>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в случае наступления одного из двух следующих событий (далее - «Событие прекращения обязательств»):</w:t>
            </w:r>
          </w:p>
          <w:p w:rsidR="00B429EB" w:rsidRPr="00005EEF" w:rsidRDefault="00B429EB" w:rsidP="00B429EB">
            <w:pPr>
              <w:pStyle w:val="AOHead2"/>
              <w:keepNext w:val="0"/>
              <w:widowControl w:val="0"/>
              <w:numPr>
                <w:ilvl w:val="0"/>
                <w:numId w:val="24"/>
              </w:numPr>
              <w:spacing w:before="0" w:line="240" w:lineRule="auto"/>
              <w:ind w:left="0" w:firstLine="0"/>
              <w:rPr>
                <w:lang w:val="ru-RU"/>
              </w:rPr>
            </w:pPr>
            <w:r w:rsidRPr="00F50CBF">
              <w:rPr>
                <w:lang w:val="ru-RU"/>
              </w:rPr>
              <w:t xml:space="preserve">значение норматива достаточности базового капитала (Н1.1), рассчитанное Кредитной организацией - эмитентом в соответствии с </w:t>
            </w:r>
            <w:r w:rsidRPr="00F50CBF">
              <w:rPr>
                <w:bCs/>
                <w:iCs/>
                <w:lang w:val="ru-RU"/>
              </w:rPr>
              <w:t>Инструкцией Банка России от 29.11.2019 №199-И «Об обязательных нормативах и надбавках к нормативам достаточности капитала банков с универсальной лицензией»</w:t>
            </w:r>
            <w:r w:rsidRPr="00F50CBF">
              <w:rPr>
                <w:lang w:val="ru-RU"/>
              </w:rPr>
              <w:t xml:space="preserve">, достигло уровня ниже 5,125 процентов в совокупности за шесть и более операционных дней в течение любых 30 последовательных операционных дней </w:t>
            </w:r>
            <w:r w:rsidRPr="00005EEF">
              <w:rPr>
                <w:lang w:val="ru-RU"/>
              </w:rPr>
              <w:t>(</w:t>
            </w:r>
            <w:r w:rsidRPr="00005EEF">
              <w:rPr>
                <w:rStyle w:val="FontStyle65"/>
                <w:sz w:val="22"/>
                <w:lang w:val="ru-RU"/>
              </w:rPr>
              <w:t>далее - Событие прекращения обязательств А)</w:t>
            </w:r>
          </w:p>
          <w:p w:rsidR="00B429EB" w:rsidRPr="00F50CBF" w:rsidRDefault="00B429EB" w:rsidP="00B429EB">
            <w:pPr>
              <w:pStyle w:val="AOHead2"/>
              <w:keepNext w:val="0"/>
              <w:widowControl w:val="0"/>
              <w:numPr>
                <w:ilvl w:val="0"/>
                <w:numId w:val="0"/>
              </w:numPr>
              <w:spacing w:before="0" w:line="240" w:lineRule="auto"/>
              <w:ind w:left="1134"/>
              <w:rPr>
                <w:lang w:val="ru-RU"/>
              </w:rPr>
            </w:pPr>
            <w:r w:rsidRPr="00F50CBF">
              <w:rPr>
                <w:lang w:val="ru-RU"/>
              </w:rPr>
              <w:t>или</w:t>
            </w:r>
            <w:bookmarkStart w:id="1" w:name="Par1"/>
            <w:bookmarkEnd w:id="1"/>
          </w:p>
          <w:p w:rsidR="00B429EB" w:rsidRPr="00005EEF" w:rsidRDefault="00B429EB" w:rsidP="00B429EB">
            <w:pPr>
              <w:pStyle w:val="AOHead2"/>
              <w:keepNext w:val="0"/>
              <w:widowControl w:val="0"/>
              <w:numPr>
                <w:ilvl w:val="0"/>
                <w:numId w:val="24"/>
              </w:numPr>
              <w:spacing w:before="0" w:line="240" w:lineRule="auto"/>
              <w:ind w:left="0" w:firstLine="0"/>
              <w:rPr>
                <w:lang w:val="ru-RU"/>
              </w:rPr>
            </w:pPr>
            <w:r w:rsidRPr="00F50CBF">
              <w:rPr>
                <w:lang w:val="ru-RU"/>
              </w:rPr>
              <w:t xml:space="preserve">в случае утверждения Советом директоров Банка России плана участия Банка России в осуществлении мер по предупреждению банкротства Кредитной организацией - эмитента или утверждения Комитетом банковского надзора Банка России (а в случаях, предусмотренных статьей 189.49 Федерального закона "О несостоятельности (банкротстве)", также Советом директоров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Кредитной организации - эмитента, предусматривающих оказание Банком России или Агентством финансовой помощи, предусмотренной  статьей 189.49 Федерального закона "О несостоятельности (банкротстве)" </w:t>
            </w:r>
            <w:r w:rsidRPr="00005EEF">
              <w:rPr>
                <w:lang w:val="ru-RU"/>
              </w:rPr>
              <w:t>(</w:t>
            </w:r>
            <w:r w:rsidRPr="00005EEF">
              <w:rPr>
                <w:rStyle w:val="FontStyle65"/>
                <w:sz w:val="22"/>
                <w:lang w:val="ru-RU"/>
              </w:rPr>
              <w:t>далее - Событие прекращения обязательств Б)</w:t>
            </w:r>
          </w:p>
          <w:p w:rsidR="00B429EB" w:rsidRPr="00F50CBF" w:rsidRDefault="00B429EB" w:rsidP="00B429EB">
            <w:pPr>
              <w:pStyle w:val="Style24"/>
              <w:widowControl/>
              <w:ind w:right="10" w:firstLine="0"/>
              <w:rPr>
                <w:rStyle w:val="FontStyle65"/>
                <w:b/>
                <w:sz w:val="22"/>
                <w:szCs w:val="22"/>
              </w:rPr>
            </w:pPr>
            <w:r w:rsidRPr="00F50CBF">
              <w:rPr>
                <w:rStyle w:val="FontStyle65"/>
                <w:b/>
                <w:sz w:val="22"/>
                <w:szCs w:val="22"/>
              </w:rPr>
              <w:t>наступают следующие последствия:</w:t>
            </w:r>
          </w:p>
          <w:p w:rsidR="00B429EB" w:rsidRPr="00F50CBF" w:rsidRDefault="00B429EB" w:rsidP="00B429EB">
            <w:pPr>
              <w:pStyle w:val="Style24"/>
              <w:widowControl/>
              <w:ind w:right="10" w:firstLine="0"/>
              <w:rPr>
                <w:rStyle w:val="FontStyle65"/>
                <w:b/>
                <w:sz w:val="22"/>
                <w:szCs w:val="22"/>
              </w:rPr>
            </w:pPr>
            <w:r w:rsidRPr="00F50CBF">
              <w:rPr>
                <w:rStyle w:val="FontStyle65"/>
                <w:b/>
                <w:sz w:val="22"/>
                <w:szCs w:val="22"/>
              </w:rPr>
              <w:lastRenderedPageBreak/>
              <w:t xml:space="preserve">обязательства </w:t>
            </w:r>
            <w:r w:rsidRPr="00F50CBF">
              <w:rPr>
                <w:b/>
                <w:sz w:val="22"/>
                <w:szCs w:val="22"/>
              </w:rPr>
              <w:t>Кредитной организацией - эмитента</w:t>
            </w:r>
            <w:r w:rsidRPr="00F50CBF">
              <w:rPr>
                <w:rStyle w:val="FontStyle65"/>
                <w:b/>
                <w:sz w:val="22"/>
                <w:szCs w:val="22"/>
              </w:rPr>
              <w:t xml:space="preserve"> по возврату суммы основного долга по Облигациям, а также по финансовым санкциям за неисполнение обязательств по Облигациям, прекращаются полностью либо частично, невыплаченные проценты не возмещаются и не накапливаются за счет прекращения полностью либо частично обязательства </w:t>
            </w:r>
            <w:r w:rsidRPr="00F50CBF">
              <w:rPr>
                <w:b/>
                <w:sz w:val="22"/>
                <w:szCs w:val="22"/>
              </w:rPr>
              <w:t>Кредитной организации - эмитента</w:t>
            </w:r>
            <w:r w:rsidRPr="00F50CBF">
              <w:rPr>
                <w:rStyle w:val="FontStyle65"/>
                <w:b/>
                <w:sz w:val="22"/>
                <w:szCs w:val="22"/>
              </w:rPr>
              <w:t xml:space="preserve"> по выплате суммы начисленных процентов по субординированному облигационному займу.</w:t>
            </w:r>
          </w:p>
          <w:p w:rsidR="00B429EB" w:rsidRPr="00F50CBF" w:rsidRDefault="00B429EB" w:rsidP="00B429EB">
            <w:pPr>
              <w:pStyle w:val="Style24"/>
              <w:ind w:right="10" w:firstLine="0"/>
              <w:rPr>
                <w:b/>
                <w:color w:val="000000"/>
                <w:sz w:val="22"/>
                <w:szCs w:val="22"/>
              </w:rPr>
            </w:pPr>
            <w:r w:rsidRPr="00F50CBF">
              <w:rPr>
                <w:rStyle w:val="FontStyle65"/>
                <w:b/>
                <w:sz w:val="22"/>
                <w:szCs w:val="22"/>
              </w:rPr>
              <w:t>С даты наступления оснований, предусмотренных в абзацах четвертом или пятом подпункта 2.3.4 Положения 646-П, до даты вступления в силу условий Решения о выпуске Облигаций о невозмещении и ненакоплении невыплаченных процентов, о прекращении полностью либо частично обязательств Кредитной организации - эмитента по возврату суммы основного долга, а также по финансовым санкциям за неисполнение обязательств по субординированному облигационному займу, Кредитной организацией - эмитентом не осуществляются какие-либо выплаты по субординированному облигационному займу.</w:t>
            </w:r>
          </w:p>
          <w:p w:rsidR="00B429EB" w:rsidRPr="00F50CBF" w:rsidRDefault="00B429EB" w:rsidP="00B429EB">
            <w:pPr>
              <w:widowControl w:val="0"/>
              <w:adjustRightInd w:val="0"/>
              <w:jc w:val="both"/>
              <w:rPr>
                <w:b/>
                <w:bCs/>
                <w:sz w:val="22"/>
                <w:szCs w:val="22"/>
              </w:rPr>
            </w:pPr>
            <w:r w:rsidRPr="00F50CBF">
              <w:rPr>
                <w:b/>
                <w:bCs/>
                <w:sz w:val="22"/>
                <w:szCs w:val="22"/>
              </w:rPr>
              <w:t xml:space="preserve">12) Форма погашения облигаций: </w:t>
            </w:r>
          </w:p>
          <w:p w:rsidR="003A7887" w:rsidRPr="006B0E86" w:rsidRDefault="00B429EB" w:rsidP="00B429EB">
            <w:pPr>
              <w:widowControl w:val="0"/>
              <w:adjustRightInd w:val="0"/>
              <w:jc w:val="both"/>
              <w:rPr>
                <w:b/>
                <w:sz w:val="22"/>
                <w:szCs w:val="22"/>
              </w:rPr>
            </w:pPr>
            <w:r w:rsidRPr="00F50CBF">
              <w:rPr>
                <w:b/>
                <w:sz w:val="22"/>
                <w:szCs w:val="22"/>
              </w:rPr>
              <w:t>Денежными средствами в долларах США в безналичном порядке в случаях, установленных Решением о выпуске.</w:t>
            </w:r>
            <w:r>
              <w:rPr>
                <w:b/>
                <w:sz w:val="22"/>
                <w:szCs w:val="22"/>
              </w:rPr>
              <w:t>».</w:t>
            </w:r>
          </w:p>
          <w:p w:rsidR="004C4763" w:rsidRPr="00B429EB" w:rsidRDefault="004C4763" w:rsidP="00B429EB">
            <w:pPr>
              <w:adjustRightInd w:val="0"/>
              <w:jc w:val="both"/>
              <w:rPr>
                <w:rFonts w:ascii="Arial" w:hAnsi="Arial" w:cs="Arial"/>
              </w:rPr>
            </w:pPr>
            <w:r w:rsidRPr="004C4763">
              <w:rPr>
                <w:sz w:val="22"/>
                <w:szCs w:val="22"/>
              </w:rPr>
              <w:t xml:space="preserve">2.6. </w:t>
            </w:r>
            <w:r w:rsidR="00B429EB" w:rsidRPr="00B429EB">
              <w:rPr>
                <w:sz w:val="22"/>
                <w:szCs w:val="22"/>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r w:rsidRPr="00B429EB">
              <w:rPr>
                <w:sz w:val="22"/>
                <w:szCs w:val="22"/>
              </w:rPr>
              <w:t>:</w:t>
            </w:r>
            <w:r w:rsidRPr="004C4763">
              <w:rPr>
                <w:sz w:val="22"/>
                <w:szCs w:val="22"/>
              </w:rPr>
              <w:t xml:space="preserve"> </w:t>
            </w:r>
            <w:r w:rsidRPr="004C4763">
              <w:rPr>
                <w:b/>
                <w:sz w:val="22"/>
                <w:szCs w:val="22"/>
              </w:rPr>
              <w:t>преимущественное право приобретения размещаемых ценных бумаг не предусмотрено.</w:t>
            </w:r>
            <w:r w:rsidRPr="004C4763">
              <w:rPr>
                <w:b/>
                <w:sz w:val="22"/>
                <w:szCs w:val="22"/>
              </w:rPr>
              <w:br/>
            </w:r>
            <w:r w:rsidRPr="004C4763">
              <w:rPr>
                <w:sz w:val="22"/>
                <w:szCs w:val="22"/>
              </w:rPr>
              <w:t xml:space="preserve">2.7. В случае если в ходе эмиссии ценных бумаг предполагается регистрация (представление бирже) проспекта ценных бумаг, сведения об указанном обстоятельстве: </w:t>
            </w:r>
            <w:r w:rsidRPr="004C4763">
              <w:rPr>
                <w:b/>
                <w:sz w:val="22"/>
                <w:szCs w:val="22"/>
              </w:rPr>
              <w:t>в ходе эмиссии ценных бумаг не предполагается регистрация (представление бирже) проспекта ценных бумаг.</w:t>
            </w:r>
          </w:p>
          <w:p w:rsidR="002F7E18" w:rsidRPr="00517238" w:rsidRDefault="002F7E18" w:rsidP="002F7E18">
            <w:pPr>
              <w:ind w:left="38"/>
              <w:jc w:val="both"/>
              <w:rPr>
                <w:color w:val="365F91"/>
              </w:rPr>
            </w:pPr>
          </w:p>
          <w:p w:rsidR="002F7E18" w:rsidRPr="00506C7C" w:rsidRDefault="002F7E18" w:rsidP="002F7E18">
            <w:pPr>
              <w:ind w:right="57"/>
              <w:jc w:val="both"/>
              <w:rPr>
                <w:b/>
                <w:i/>
                <w:sz w:val="22"/>
                <w:szCs w:val="22"/>
              </w:rPr>
            </w:pPr>
          </w:p>
        </w:tc>
      </w:tr>
    </w:tbl>
    <w:p w:rsidR="003D6A44" w:rsidRPr="00506C7C"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41"/>
        <w:gridCol w:w="567"/>
        <w:gridCol w:w="2532"/>
        <w:gridCol w:w="76"/>
        <w:gridCol w:w="2552"/>
        <w:gridCol w:w="113"/>
      </w:tblGrid>
      <w:tr w:rsidR="003D6A44" w:rsidRPr="00506C7C"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506C7C" w:rsidRDefault="003D6A44">
            <w:pPr>
              <w:jc w:val="center"/>
              <w:rPr>
                <w:sz w:val="22"/>
                <w:szCs w:val="22"/>
              </w:rPr>
            </w:pPr>
            <w:r w:rsidRPr="00506C7C">
              <w:rPr>
                <w:sz w:val="22"/>
                <w:szCs w:val="22"/>
              </w:rPr>
              <w:t>3. Подпись</w:t>
            </w:r>
          </w:p>
        </w:tc>
      </w:tr>
      <w:tr w:rsidR="00315CC2" w:rsidRPr="00506C7C" w:rsidTr="001D0534">
        <w:tc>
          <w:tcPr>
            <w:tcW w:w="4706" w:type="dxa"/>
            <w:gridSpan w:val="8"/>
            <w:tcBorders>
              <w:top w:val="single" w:sz="4" w:space="0" w:color="auto"/>
              <w:left w:val="single" w:sz="4" w:space="0" w:color="auto"/>
              <w:bottom w:val="nil"/>
              <w:right w:val="nil"/>
            </w:tcBorders>
            <w:vAlign w:val="bottom"/>
          </w:tcPr>
          <w:p w:rsidR="00E06DEC" w:rsidRPr="00506C7C" w:rsidRDefault="005A2BF1" w:rsidP="008A3A67">
            <w:pPr>
              <w:rPr>
                <w:rFonts w:eastAsia="SimSun"/>
                <w:sz w:val="22"/>
                <w:szCs w:val="22"/>
              </w:rPr>
            </w:pPr>
            <w:r>
              <w:rPr>
                <w:rFonts w:eastAsia="SimSun"/>
                <w:sz w:val="22"/>
                <w:szCs w:val="22"/>
              </w:rPr>
              <w:t>3.1.</w:t>
            </w:r>
            <w:r w:rsidR="00E06DEC" w:rsidRPr="00506C7C">
              <w:rPr>
                <w:rFonts w:eastAsia="SimSun"/>
                <w:sz w:val="22"/>
                <w:szCs w:val="22"/>
              </w:rPr>
              <w:t>Председател</w:t>
            </w:r>
            <w:r w:rsidR="00B429EB">
              <w:rPr>
                <w:rFonts w:eastAsia="SimSun"/>
                <w:sz w:val="22"/>
                <w:szCs w:val="22"/>
              </w:rPr>
              <w:t>ь</w:t>
            </w:r>
            <w:r w:rsidR="003A56A5">
              <w:rPr>
                <w:rFonts w:eastAsia="SimSun"/>
                <w:sz w:val="22"/>
                <w:szCs w:val="22"/>
              </w:rPr>
              <w:t xml:space="preserve"> </w:t>
            </w:r>
            <w:r w:rsidR="00E06DEC" w:rsidRPr="00506C7C">
              <w:rPr>
                <w:rFonts w:eastAsia="SimSun"/>
                <w:sz w:val="22"/>
                <w:szCs w:val="22"/>
              </w:rPr>
              <w:t xml:space="preserve"> Правления</w:t>
            </w:r>
          </w:p>
          <w:p w:rsidR="00315CC2" w:rsidRPr="00506C7C" w:rsidRDefault="008A3A67" w:rsidP="008A3A67">
            <w:pPr>
              <w:rPr>
                <w:rFonts w:eastAsia="SimSun"/>
                <w:sz w:val="22"/>
                <w:szCs w:val="22"/>
              </w:rPr>
            </w:pPr>
            <w:r w:rsidRPr="00506C7C">
              <w:rPr>
                <w:rFonts w:eastAsia="SimSun"/>
                <w:sz w:val="22"/>
                <w:szCs w:val="22"/>
              </w:rPr>
              <w:t xml:space="preserve">       </w:t>
            </w:r>
            <w:r w:rsidR="00E06DEC" w:rsidRPr="00506C7C">
              <w:rPr>
                <w:rFonts w:eastAsia="SimSun"/>
                <w:sz w:val="22"/>
                <w:szCs w:val="22"/>
              </w:rPr>
              <w:t>ООО «Экспобанк»</w:t>
            </w:r>
          </w:p>
        </w:tc>
        <w:tc>
          <w:tcPr>
            <w:tcW w:w="2532" w:type="dxa"/>
            <w:tcBorders>
              <w:top w:val="nil"/>
              <w:left w:val="nil"/>
              <w:bottom w:val="single" w:sz="4" w:space="0" w:color="auto"/>
              <w:right w:val="nil"/>
            </w:tcBorders>
            <w:vAlign w:val="bottom"/>
          </w:tcPr>
          <w:p w:rsidR="00315CC2" w:rsidRPr="00506C7C" w:rsidRDefault="00315CC2" w:rsidP="00315CC2">
            <w:pPr>
              <w:rPr>
                <w:sz w:val="22"/>
                <w:szCs w:val="22"/>
              </w:rPr>
            </w:pPr>
          </w:p>
        </w:tc>
        <w:tc>
          <w:tcPr>
            <w:tcW w:w="76" w:type="dxa"/>
            <w:tcBorders>
              <w:top w:val="nil"/>
              <w:left w:val="nil"/>
              <w:bottom w:val="nil"/>
              <w:right w:val="nil"/>
            </w:tcBorders>
            <w:vAlign w:val="bottom"/>
          </w:tcPr>
          <w:p w:rsidR="00315CC2" w:rsidRPr="00506C7C" w:rsidRDefault="00315CC2">
            <w:pPr>
              <w:rPr>
                <w:sz w:val="22"/>
                <w:szCs w:val="22"/>
              </w:rPr>
            </w:pPr>
          </w:p>
        </w:tc>
        <w:tc>
          <w:tcPr>
            <w:tcW w:w="2552" w:type="dxa"/>
            <w:tcBorders>
              <w:top w:val="nil"/>
              <w:left w:val="nil"/>
              <w:bottom w:val="nil"/>
              <w:right w:val="nil"/>
            </w:tcBorders>
            <w:vAlign w:val="bottom"/>
          </w:tcPr>
          <w:p w:rsidR="00315CC2" w:rsidRPr="00506C7C" w:rsidRDefault="00B429EB" w:rsidP="003A56A5">
            <w:pPr>
              <w:jc w:val="center"/>
              <w:rPr>
                <w:rFonts w:eastAsia="SimSun"/>
                <w:sz w:val="22"/>
                <w:szCs w:val="22"/>
              </w:rPr>
            </w:pPr>
            <w:r>
              <w:rPr>
                <w:rFonts w:eastAsia="SimSun"/>
                <w:sz w:val="22"/>
                <w:szCs w:val="22"/>
              </w:rPr>
              <w:t>К.В. Нифонтов</w:t>
            </w:r>
          </w:p>
        </w:tc>
        <w:tc>
          <w:tcPr>
            <w:tcW w:w="113" w:type="dxa"/>
            <w:tcBorders>
              <w:top w:val="single" w:sz="4" w:space="0" w:color="auto"/>
              <w:left w:val="nil"/>
              <w:bottom w:val="nil"/>
              <w:right w:val="single" w:sz="4" w:space="0" w:color="auto"/>
            </w:tcBorders>
            <w:vAlign w:val="bottom"/>
          </w:tcPr>
          <w:p w:rsidR="00315CC2" w:rsidRPr="00506C7C" w:rsidRDefault="00315CC2">
            <w:pPr>
              <w:rPr>
                <w:sz w:val="22"/>
                <w:szCs w:val="22"/>
              </w:rPr>
            </w:pPr>
          </w:p>
        </w:tc>
      </w:tr>
      <w:tr w:rsidR="00315CC2" w:rsidRPr="00506C7C" w:rsidTr="00C0453A">
        <w:trPr>
          <w:trHeight w:val="56"/>
        </w:trPr>
        <w:tc>
          <w:tcPr>
            <w:tcW w:w="4706" w:type="dxa"/>
            <w:gridSpan w:val="8"/>
            <w:tcBorders>
              <w:top w:val="nil"/>
              <w:left w:val="single" w:sz="4" w:space="0" w:color="auto"/>
              <w:bottom w:val="nil"/>
              <w:right w:val="nil"/>
            </w:tcBorders>
          </w:tcPr>
          <w:p w:rsidR="00315CC2" w:rsidRPr="00506C7C" w:rsidRDefault="00315CC2" w:rsidP="00315CC2">
            <w:pPr>
              <w:rPr>
                <w:rFonts w:eastAsia="SimSun"/>
                <w:sz w:val="22"/>
                <w:szCs w:val="22"/>
              </w:rPr>
            </w:pPr>
          </w:p>
        </w:tc>
        <w:tc>
          <w:tcPr>
            <w:tcW w:w="2532" w:type="dxa"/>
            <w:tcBorders>
              <w:top w:val="nil"/>
              <w:left w:val="nil"/>
              <w:bottom w:val="nil"/>
              <w:right w:val="nil"/>
            </w:tcBorders>
          </w:tcPr>
          <w:p w:rsidR="00315CC2" w:rsidRPr="00506C7C" w:rsidRDefault="00315CC2">
            <w:pPr>
              <w:jc w:val="center"/>
              <w:rPr>
                <w:sz w:val="22"/>
                <w:szCs w:val="22"/>
              </w:rPr>
            </w:pPr>
            <w:r w:rsidRPr="00506C7C">
              <w:rPr>
                <w:sz w:val="22"/>
                <w:szCs w:val="22"/>
              </w:rPr>
              <w:t>(подпись)</w:t>
            </w:r>
          </w:p>
        </w:tc>
        <w:tc>
          <w:tcPr>
            <w:tcW w:w="76" w:type="dxa"/>
            <w:tcBorders>
              <w:top w:val="nil"/>
              <w:left w:val="nil"/>
              <w:bottom w:val="nil"/>
              <w:right w:val="nil"/>
            </w:tcBorders>
          </w:tcPr>
          <w:p w:rsidR="00315CC2" w:rsidRPr="00506C7C" w:rsidRDefault="00315CC2">
            <w:pPr>
              <w:rPr>
                <w:sz w:val="22"/>
                <w:szCs w:val="22"/>
              </w:rPr>
            </w:pPr>
          </w:p>
        </w:tc>
        <w:tc>
          <w:tcPr>
            <w:tcW w:w="2552" w:type="dxa"/>
            <w:tcBorders>
              <w:top w:val="nil"/>
              <w:left w:val="nil"/>
              <w:bottom w:val="nil"/>
              <w:right w:val="nil"/>
            </w:tcBorders>
          </w:tcPr>
          <w:p w:rsidR="00315CC2" w:rsidRPr="00506C7C" w:rsidRDefault="00315CC2">
            <w:pPr>
              <w:jc w:val="center"/>
              <w:rPr>
                <w:sz w:val="22"/>
                <w:szCs w:val="22"/>
              </w:rPr>
            </w:pPr>
          </w:p>
        </w:tc>
        <w:tc>
          <w:tcPr>
            <w:tcW w:w="113" w:type="dxa"/>
            <w:tcBorders>
              <w:top w:val="nil"/>
              <w:left w:val="nil"/>
              <w:bottom w:val="nil"/>
              <w:right w:val="single" w:sz="4" w:space="0" w:color="auto"/>
            </w:tcBorders>
          </w:tcPr>
          <w:p w:rsidR="00315CC2" w:rsidRPr="00506C7C" w:rsidRDefault="00315CC2">
            <w:pPr>
              <w:rPr>
                <w:sz w:val="22"/>
                <w:szCs w:val="22"/>
              </w:rPr>
            </w:pPr>
          </w:p>
        </w:tc>
      </w:tr>
      <w:tr w:rsidR="003D6A44" w:rsidRPr="00506C7C" w:rsidTr="006C5E76">
        <w:tc>
          <w:tcPr>
            <w:tcW w:w="1077" w:type="dxa"/>
            <w:tcBorders>
              <w:top w:val="nil"/>
              <w:left w:val="single" w:sz="4" w:space="0" w:color="auto"/>
              <w:bottom w:val="nil"/>
              <w:right w:val="nil"/>
            </w:tcBorders>
            <w:vAlign w:val="bottom"/>
          </w:tcPr>
          <w:p w:rsidR="003D6A44" w:rsidRPr="00506C7C" w:rsidRDefault="003D6A44">
            <w:pPr>
              <w:spacing w:before="240"/>
              <w:ind w:left="57"/>
              <w:rPr>
                <w:sz w:val="22"/>
                <w:szCs w:val="22"/>
              </w:rPr>
            </w:pPr>
            <w:r w:rsidRPr="00506C7C">
              <w:rPr>
                <w:sz w:val="22"/>
                <w:szCs w:val="22"/>
              </w:rPr>
              <w:t>3.2. Дата</w:t>
            </w:r>
          </w:p>
        </w:tc>
        <w:tc>
          <w:tcPr>
            <w:tcW w:w="198"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w:t>
            </w:r>
          </w:p>
        </w:tc>
        <w:tc>
          <w:tcPr>
            <w:tcW w:w="397" w:type="dxa"/>
            <w:tcBorders>
              <w:top w:val="nil"/>
              <w:left w:val="nil"/>
              <w:bottom w:val="single" w:sz="4" w:space="0" w:color="auto"/>
              <w:right w:val="nil"/>
            </w:tcBorders>
            <w:vAlign w:val="bottom"/>
          </w:tcPr>
          <w:p w:rsidR="003D6A44" w:rsidRPr="00506C7C" w:rsidRDefault="00B429EB" w:rsidP="00880F5B">
            <w:pPr>
              <w:jc w:val="center"/>
              <w:rPr>
                <w:sz w:val="22"/>
                <w:szCs w:val="22"/>
              </w:rPr>
            </w:pPr>
            <w:r>
              <w:rPr>
                <w:sz w:val="22"/>
                <w:szCs w:val="22"/>
              </w:rPr>
              <w:t>13</w:t>
            </w:r>
          </w:p>
        </w:tc>
        <w:tc>
          <w:tcPr>
            <w:tcW w:w="255" w:type="dxa"/>
            <w:tcBorders>
              <w:top w:val="nil"/>
              <w:left w:val="nil"/>
              <w:bottom w:val="nil"/>
              <w:right w:val="nil"/>
            </w:tcBorders>
            <w:vAlign w:val="bottom"/>
          </w:tcPr>
          <w:p w:rsidR="003D6A44" w:rsidRPr="00506C7C" w:rsidRDefault="003D6A44">
            <w:pPr>
              <w:rPr>
                <w:sz w:val="22"/>
                <w:szCs w:val="22"/>
              </w:rPr>
            </w:pPr>
            <w:r w:rsidRPr="00506C7C">
              <w:rPr>
                <w:sz w:val="22"/>
                <w:szCs w:val="22"/>
              </w:rPr>
              <w:t>”</w:t>
            </w:r>
          </w:p>
        </w:tc>
        <w:tc>
          <w:tcPr>
            <w:tcW w:w="1474" w:type="dxa"/>
            <w:tcBorders>
              <w:top w:val="nil"/>
              <w:left w:val="nil"/>
              <w:bottom w:val="single" w:sz="4" w:space="0" w:color="auto"/>
              <w:right w:val="nil"/>
            </w:tcBorders>
            <w:vAlign w:val="bottom"/>
          </w:tcPr>
          <w:p w:rsidR="003D6A44" w:rsidRPr="00506C7C" w:rsidRDefault="00B429EB" w:rsidP="003A7887">
            <w:pPr>
              <w:jc w:val="center"/>
              <w:rPr>
                <w:sz w:val="22"/>
                <w:szCs w:val="22"/>
              </w:rPr>
            </w:pPr>
            <w:r>
              <w:rPr>
                <w:sz w:val="22"/>
                <w:szCs w:val="22"/>
              </w:rPr>
              <w:t xml:space="preserve">апреля </w:t>
            </w:r>
          </w:p>
        </w:tc>
        <w:tc>
          <w:tcPr>
            <w:tcW w:w="397"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20</w:t>
            </w:r>
          </w:p>
        </w:tc>
        <w:tc>
          <w:tcPr>
            <w:tcW w:w="341" w:type="dxa"/>
            <w:tcBorders>
              <w:top w:val="nil"/>
              <w:left w:val="nil"/>
              <w:bottom w:val="single" w:sz="4" w:space="0" w:color="auto"/>
              <w:right w:val="nil"/>
            </w:tcBorders>
            <w:vAlign w:val="bottom"/>
          </w:tcPr>
          <w:p w:rsidR="003D6A44" w:rsidRPr="00506C7C" w:rsidRDefault="00B429EB" w:rsidP="00C73754">
            <w:pPr>
              <w:rPr>
                <w:sz w:val="22"/>
                <w:szCs w:val="22"/>
              </w:rPr>
            </w:pPr>
            <w:r>
              <w:rPr>
                <w:sz w:val="22"/>
                <w:szCs w:val="22"/>
              </w:rPr>
              <w:t>21</w:t>
            </w:r>
          </w:p>
        </w:tc>
        <w:tc>
          <w:tcPr>
            <w:tcW w:w="567" w:type="dxa"/>
            <w:tcBorders>
              <w:top w:val="nil"/>
              <w:left w:val="nil"/>
              <w:bottom w:val="nil"/>
              <w:right w:val="nil"/>
            </w:tcBorders>
            <w:vAlign w:val="bottom"/>
          </w:tcPr>
          <w:p w:rsidR="003D6A44" w:rsidRPr="00506C7C" w:rsidRDefault="003D6A44">
            <w:pPr>
              <w:ind w:left="57"/>
              <w:rPr>
                <w:sz w:val="22"/>
                <w:szCs w:val="22"/>
              </w:rPr>
            </w:pPr>
            <w:r w:rsidRPr="00506C7C">
              <w:rPr>
                <w:sz w:val="22"/>
                <w:szCs w:val="22"/>
              </w:rPr>
              <w:t>г.</w:t>
            </w:r>
          </w:p>
        </w:tc>
        <w:tc>
          <w:tcPr>
            <w:tcW w:w="2532" w:type="dxa"/>
            <w:tcBorders>
              <w:top w:val="nil"/>
              <w:left w:val="nil"/>
              <w:bottom w:val="nil"/>
              <w:right w:val="nil"/>
            </w:tcBorders>
            <w:vAlign w:val="bottom"/>
          </w:tcPr>
          <w:p w:rsidR="003D6A44" w:rsidRPr="00506C7C" w:rsidRDefault="003D6A44">
            <w:pPr>
              <w:jc w:val="center"/>
              <w:rPr>
                <w:sz w:val="22"/>
                <w:szCs w:val="22"/>
              </w:rPr>
            </w:pPr>
            <w:r w:rsidRPr="00506C7C">
              <w:rPr>
                <w:sz w:val="22"/>
                <w:szCs w:val="22"/>
              </w:rPr>
              <w:t>М.П.</w:t>
            </w:r>
          </w:p>
        </w:tc>
        <w:tc>
          <w:tcPr>
            <w:tcW w:w="2741" w:type="dxa"/>
            <w:gridSpan w:val="3"/>
            <w:tcBorders>
              <w:top w:val="nil"/>
              <w:left w:val="nil"/>
              <w:bottom w:val="nil"/>
              <w:right w:val="single" w:sz="4" w:space="0" w:color="auto"/>
            </w:tcBorders>
            <w:vAlign w:val="bottom"/>
          </w:tcPr>
          <w:p w:rsidR="003D6A44" w:rsidRPr="00506C7C" w:rsidRDefault="003D6A44">
            <w:pPr>
              <w:rPr>
                <w:sz w:val="22"/>
                <w:szCs w:val="22"/>
              </w:rPr>
            </w:pPr>
          </w:p>
        </w:tc>
      </w:tr>
      <w:tr w:rsidR="003D6A44" w:rsidRPr="00891446"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891446" w:rsidRDefault="003D6A44">
            <w:pPr>
              <w:rPr>
                <w:sz w:val="22"/>
                <w:szCs w:val="22"/>
              </w:rPr>
            </w:pPr>
          </w:p>
        </w:tc>
      </w:tr>
      <w:bookmarkEnd w:id="0"/>
    </w:tbl>
    <w:p w:rsidR="00315CC2" w:rsidRPr="0004780D" w:rsidRDefault="00315CC2" w:rsidP="00D96C5E">
      <w:pPr>
        <w:rPr>
          <w:sz w:val="2"/>
          <w:szCs w:val="2"/>
        </w:rPr>
      </w:pPr>
    </w:p>
    <w:sectPr w:rsidR="00315CC2" w:rsidRPr="0004780D" w:rsidSect="006C3863">
      <w:footerReference w:type="even" r:id="rId7"/>
      <w:footerReference w:type="default" r:id="rId8"/>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C57" w:rsidRDefault="005C0C57">
      <w:r>
        <w:separator/>
      </w:r>
    </w:p>
  </w:endnote>
  <w:endnote w:type="continuationSeparator" w:id="0">
    <w:p w:rsidR="005C0C57" w:rsidRDefault="005C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57" w:rsidRDefault="005C0C57" w:rsidP="007024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C0C57" w:rsidRDefault="005C0C57"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57" w:rsidRDefault="005C0C57" w:rsidP="007024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05EEF">
      <w:rPr>
        <w:rStyle w:val="af"/>
        <w:noProof/>
      </w:rPr>
      <w:t>4</w:t>
    </w:r>
    <w:r>
      <w:rPr>
        <w:rStyle w:val="af"/>
      </w:rPr>
      <w:fldChar w:fldCharType="end"/>
    </w:r>
  </w:p>
  <w:p w:rsidR="005C0C57" w:rsidRDefault="005C0C57"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C57" w:rsidRDefault="005C0C57">
      <w:r>
        <w:separator/>
      </w:r>
    </w:p>
  </w:footnote>
  <w:footnote w:type="continuationSeparator" w:id="0">
    <w:p w:rsidR="005C0C57" w:rsidRDefault="005C0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B82"/>
    <w:multiLevelType w:val="hybridMultilevel"/>
    <w:tmpl w:val="CBD8DAA0"/>
    <w:lvl w:ilvl="0" w:tplc="D48232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 w15:restartNumberingAfterBreak="0">
    <w:nsid w:val="103903B4"/>
    <w:multiLevelType w:val="hybridMultilevel"/>
    <w:tmpl w:val="4678BECC"/>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15:restartNumberingAfterBreak="0">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AE74D0C"/>
    <w:multiLevelType w:val="hybridMultilevel"/>
    <w:tmpl w:val="21DC7752"/>
    <w:lvl w:ilvl="0" w:tplc="1C7C3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E2522"/>
    <w:multiLevelType w:val="hybridMultilevel"/>
    <w:tmpl w:val="96A85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340031E"/>
    <w:multiLevelType w:val="hybridMultilevel"/>
    <w:tmpl w:val="6930E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3F446D"/>
    <w:multiLevelType w:val="hybridMultilevel"/>
    <w:tmpl w:val="BD54B8C8"/>
    <w:lvl w:ilvl="0" w:tplc="FDA2F370">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B573ED"/>
    <w:multiLevelType w:val="hybridMultilevel"/>
    <w:tmpl w:val="27CE7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C13186"/>
    <w:multiLevelType w:val="hybridMultilevel"/>
    <w:tmpl w:val="DC646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4B4E3E"/>
    <w:multiLevelType w:val="multilevel"/>
    <w:tmpl w:val="20105294"/>
    <w:name w:val="AOHeadX"/>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i w:val="0"/>
        <w:sz w:val="20"/>
        <w:szCs w:val="2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4" w15:restartNumberingAfterBreak="0">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F5103FC"/>
    <w:multiLevelType w:val="hybridMultilevel"/>
    <w:tmpl w:val="1D242E80"/>
    <w:lvl w:ilvl="0" w:tplc="004CC0BA">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6" w15:restartNumberingAfterBreak="0">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AA3701"/>
    <w:multiLevelType w:val="hybridMultilevel"/>
    <w:tmpl w:val="8758A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4D4A05"/>
    <w:multiLevelType w:val="hybridMultilevel"/>
    <w:tmpl w:val="ABFEB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2" w15:restartNumberingAfterBreak="0">
    <w:nsid w:val="7DC11D18"/>
    <w:multiLevelType w:val="hybridMultilevel"/>
    <w:tmpl w:val="EA8A5A76"/>
    <w:lvl w:ilvl="0" w:tplc="40DA5308">
      <w:start w:val="1"/>
      <w:numFmt w:val="decimal"/>
      <w:lvlText w:val="%1."/>
      <w:lvlJc w:val="left"/>
      <w:pPr>
        <w:ind w:left="567" w:hanging="127"/>
      </w:pPr>
      <w:rPr>
        <w:rFonts w:ascii="Times New Roman" w:hAnsi="Times New Roman" w:cs="Times New Roman" w:hint="default"/>
        <w:sz w:val="24"/>
        <w:szCs w:val="24"/>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3" w15:restartNumberingAfterBreak="0">
    <w:nsid w:val="7E86348A"/>
    <w:multiLevelType w:val="hybridMultilevel"/>
    <w:tmpl w:val="D0446F40"/>
    <w:lvl w:ilvl="0" w:tplc="CBA04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7"/>
  </w:num>
  <w:num w:numId="3">
    <w:abstractNumId w:val="14"/>
  </w:num>
  <w:num w:numId="4">
    <w:abstractNumId w:val="16"/>
  </w:num>
  <w:num w:numId="5">
    <w:abstractNumId w:val="1"/>
  </w:num>
  <w:num w:numId="6">
    <w:abstractNumId w:val="8"/>
  </w:num>
  <w:num w:numId="7">
    <w:abstractNumId w:val="17"/>
  </w:num>
  <w:num w:numId="8">
    <w:abstractNumId w:val="5"/>
  </w:num>
  <w:num w:numId="9">
    <w:abstractNumId w:val="20"/>
  </w:num>
  <w:num w:numId="10">
    <w:abstractNumId w:val="21"/>
  </w:num>
  <w:num w:numId="11">
    <w:abstractNumId w:val="12"/>
  </w:num>
  <w:num w:numId="12">
    <w:abstractNumId w:val="19"/>
  </w:num>
  <w:num w:numId="13">
    <w:abstractNumId w:val="11"/>
  </w:num>
  <w:num w:numId="14">
    <w:abstractNumId w:val="22"/>
  </w:num>
  <w:num w:numId="15">
    <w:abstractNumId w:val="15"/>
  </w:num>
  <w:num w:numId="16">
    <w:abstractNumId w:val="18"/>
  </w:num>
  <w:num w:numId="17">
    <w:abstractNumId w:val="9"/>
  </w:num>
  <w:num w:numId="18">
    <w:abstractNumId w:val="6"/>
  </w:num>
  <w:num w:numId="19">
    <w:abstractNumId w:val="0"/>
  </w:num>
  <w:num w:numId="20">
    <w:abstractNumId w:val="10"/>
  </w:num>
  <w:num w:numId="21">
    <w:abstractNumId w:val="4"/>
  </w:num>
  <w:num w:numId="22">
    <w:abstractNumId w:val="23"/>
  </w:num>
  <w:num w:numId="23">
    <w:abstractNumId w:val="13"/>
  </w:num>
  <w:num w:numId="2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5216"/>
    <w:rsid w:val="00005EEF"/>
    <w:rsid w:val="00007F7F"/>
    <w:rsid w:val="000147B4"/>
    <w:rsid w:val="0001737C"/>
    <w:rsid w:val="00021C94"/>
    <w:rsid w:val="00022166"/>
    <w:rsid w:val="0002228A"/>
    <w:rsid w:val="000241EE"/>
    <w:rsid w:val="00025F6B"/>
    <w:rsid w:val="00026D06"/>
    <w:rsid w:val="00027F61"/>
    <w:rsid w:val="00032AFB"/>
    <w:rsid w:val="00037575"/>
    <w:rsid w:val="00042F35"/>
    <w:rsid w:val="00046EEC"/>
    <w:rsid w:val="0004780D"/>
    <w:rsid w:val="00052104"/>
    <w:rsid w:val="00053BED"/>
    <w:rsid w:val="000544C2"/>
    <w:rsid w:val="00054782"/>
    <w:rsid w:val="000561D2"/>
    <w:rsid w:val="00061D1D"/>
    <w:rsid w:val="00063713"/>
    <w:rsid w:val="00073975"/>
    <w:rsid w:val="0007512A"/>
    <w:rsid w:val="00082178"/>
    <w:rsid w:val="000978E4"/>
    <w:rsid w:val="000A142B"/>
    <w:rsid w:val="000A2146"/>
    <w:rsid w:val="000A2F70"/>
    <w:rsid w:val="000A4846"/>
    <w:rsid w:val="000A649D"/>
    <w:rsid w:val="000B57AC"/>
    <w:rsid w:val="000B5DDF"/>
    <w:rsid w:val="000C0B7B"/>
    <w:rsid w:val="000C1183"/>
    <w:rsid w:val="000D0EF6"/>
    <w:rsid w:val="000D2733"/>
    <w:rsid w:val="000D49AC"/>
    <w:rsid w:val="000E3D36"/>
    <w:rsid w:val="000F0676"/>
    <w:rsid w:val="000F0C04"/>
    <w:rsid w:val="000F1033"/>
    <w:rsid w:val="000F1CCF"/>
    <w:rsid w:val="000F3200"/>
    <w:rsid w:val="00100EB3"/>
    <w:rsid w:val="001010DD"/>
    <w:rsid w:val="00110D20"/>
    <w:rsid w:val="0011361F"/>
    <w:rsid w:val="00114FFD"/>
    <w:rsid w:val="001155CC"/>
    <w:rsid w:val="0012118F"/>
    <w:rsid w:val="0012161B"/>
    <w:rsid w:val="00125807"/>
    <w:rsid w:val="00126EE8"/>
    <w:rsid w:val="00131A7D"/>
    <w:rsid w:val="00135A80"/>
    <w:rsid w:val="00146B81"/>
    <w:rsid w:val="0015430B"/>
    <w:rsid w:val="00160C66"/>
    <w:rsid w:val="0017152F"/>
    <w:rsid w:val="0017154C"/>
    <w:rsid w:val="001717C6"/>
    <w:rsid w:val="0017788F"/>
    <w:rsid w:val="001853DC"/>
    <w:rsid w:val="00187E2C"/>
    <w:rsid w:val="001938F2"/>
    <w:rsid w:val="00196993"/>
    <w:rsid w:val="00196FA3"/>
    <w:rsid w:val="00197A73"/>
    <w:rsid w:val="001A357C"/>
    <w:rsid w:val="001B3051"/>
    <w:rsid w:val="001B44A6"/>
    <w:rsid w:val="001C0D47"/>
    <w:rsid w:val="001C28FC"/>
    <w:rsid w:val="001D0534"/>
    <w:rsid w:val="001D2357"/>
    <w:rsid w:val="001D42F5"/>
    <w:rsid w:val="001E329C"/>
    <w:rsid w:val="001E380A"/>
    <w:rsid w:val="001E4ABC"/>
    <w:rsid w:val="001F2887"/>
    <w:rsid w:val="001F4405"/>
    <w:rsid w:val="001F6D4C"/>
    <w:rsid w:val="00201581"/>
    <w:rsid w:val="00202FD6"/>
    <w:rsid w:val="00203794"/>
    <w:rsid w:val="002244B0"/>
    <w:rsid w:val="002251D4"/>
    <w:rsid w:val="00225684"/>
    <w:rsid w:val="00226C44"/>
    <w:rsid w:val="00230BC7"/>
    <w:rsid w:val="00232838"/>
    <w:rsid w:val="00240BC0"/>
    <w:rsid w:val="00245BEF"/>
    <w:rsid w:val="00262EAB"/>
    <w:rsid w:val="00270FFD"/>
    <w:rsid w:val="002813CC"/>
    <w:rsid w:val="00284C3E"/>
    <w:rsid w:val="00285722"/>
    <w:rsid w:val="002858AB"/>
    <w:rsid w:val="0028723D"/>
    <w:rsid w:val="0029140D"/>
    <w:rsid w:val="002A310D"/>
    <w:rsid w:val="002B7005"/>
    <w:rsid w:val="002C47D4"/>
    <w:rsid w:val="002C5662"/>
    <w:rsid w:val="002D0351"/>
    <w:rsid w:val="002D2FE3"/>
    <w:rsid w:val="002D739D"/>
    <w:rsid w:val="002E0E86"/>
    <w:rsid w:val="002F413B"/>
    <w:rsid w:val="002F5B80"/>
    <w:rsid w:val="002F7E18"/>
    <w:rsid w:val="00303B30"/>
    <w:rsid w:val="00315C36"/>
    <w:rsid w:val="00315CC2"/>
    <w:rsid w:val="00321A14"/>
    <w:rsid w:val="00321E4D"/>
    <w:rsid w:val="00322608"/>
    <w:rsid w:val="003247C0"/>
    <w:rsid w:val="00343765"/>
    <w:rsid w:val="003459F2"/>
    <w:rsid w:val="00354826"/>
    <w:rsid w:val="0036361E"/>
    <w:rsid w:val="00364C6B"/>
    <w:rsid w:val="00385B74"/>
    <w:rsid w:val="00386655"/>
    <w:rsid w:val="00387F5C"/>
    <w:rsid w:val="00392C62"/>
    <w:rsid w:val="0039498D"/>
    <w:rsid w:val="003A56A5"/>
    <w:rsid w:val="003A7887"/>
    <w:rsid w:val="003A7EB4"/>
    <w:rsid w:val="003C0960"/>
    <w:rsid w:val="003C37BB"/>
    <w:rsid w:val="003D6A44"/>
    <w:rsid w:val="003E02B5"/>
    <w:rsid w:val="003E3FD3"/>
    <w:rsid w:val="003F5565"/>
    <w:rsid w:val="00402787"/>
    <w:rsid w:val="00403FF2"/>
    <w:rsid w:val="00410526"/>
    <w:rsid w:val="00410F5A"/>
    <w:rsid w:val="00414B37"/>
    <w:rsid w:val="0042170E"/>
    <w:rsid w:val="00422FB1"/>
    <w:rsid w:val="00424AB3"/>
    <w:rsid w:val="00424C21"/>
    <w:rsid w:val="00425287"/>
    <w:rsid w:val="0042550A"/>
    <w:rsid w:val="00430C6D"/>
    <w:rsid w:val="00432A97"/>
    <w:rsid w:val="00433364"/>
    <w:rsid w:val="00435783"/>
    <w:rsid w:val="00435D4F"/>
    <w:rsid w:val="00436383"/>
    <w:rsid w:val="00436C4E"/>
    <w:rsid w:val="00445193"/>
    <w:rsid w:val="00445DE3"/>
    <w:rsid w:val="00445FAF"/>
    <w:rsid w:val="004502BF"/>
    <w:rsid w:val="00451F15"/>
    <w:rsid w:val="00452C31"/>
    <w:rsid w:val="00456597"/>
    <w:rsid w:val="00464F9D"/>
    <w:rsid w:val="00465BC9"/>
    <w:rsid w:val="004715A0"/>
    <w:rsid w:val="00474A2E"/>
    <w:rsid w:val="00476B97"/>
    <w:rsid w:val="00477F0B"/>
    <w:rsid w:val="00480908"/>
    <w:rsid w:val="00484884"/>
    <w:rsid w:val="00485299"/>
    <w:rsid w:val="00490D92"/>
    <w:rsid w:val="004949F8"/>
    <w:rsid w:val="00496C9D"/>
    <w:rsid w:val="004A1CB8"/>
    <w:rsid w:val="004A5FBB"/>
    <w:rsid w:val="004C17FD"/>
    <w:rsid w:val="004C4763"/>
    <w:rsid w:val="004C4BF3"/>
    <w:rsid w:val="004D77B6"/>
    <w:rsid w:val="004E7BF0"/>
    <w:rsid w:val="004F47E9"/>
    <w:rsid w:val="004F5DD5"/>
    <w:rsid w:val="004F7D68"/>
    <w:rsid w:val="005051EF"/>
    <w:rsid w:val="00506C7C"/>
    <w:rsid w:val="00520F5D"/>
    <w:rsid w:val="00521FB7"/>
    <w:rsid w:val="005220E5"/>
    <w:rsid w:val="00522309"/>
    <w:rsid w:val="00522660"/>
    <w:rsid w:val="0052283D"/>
    <w:rsid w:val="00535F8C"/>
    <w:rsid w:val="00536299"/>
    <w:rsid w:val="00536DCF"/>
    <w:rsid w:val="0054373F"/>
    <w:rsid w:val="00553F88"/>
    <w:rsid w:val="00561853"/>
    <w:rsid w:val="00561E36"/>
    <w:rsid w:val="00564E97"/>
    <w:rsid w:val="0056577C"/>
    <w:rsid w:val="005659C3"/>
    <w:rsid w:val="005665CD"/>
    <w:rsid w:val="00570790"/>
    <w:rsid w:val="005717BD"/>
    <w:rsid w:val="00573BE4"/>
    <w:rsid w:val="00574904"/>
    <w:rsid w:val="00576F58"/>
    <w:rsid w:val="00580F0B"/>
    <w:rsid w:val="005830F9"/>
    <w:rsid w:val="005840E4"/>
    <w:rsid w:val="00587525"/>
    <w:rsid w:val="00593EEC"/>
    <w:rsid w:val="005944EE"/>
    <w:rsid w:val="00596D2E"/>
    <w:rsid w:val="005A2BF1"/>
    <w:rsid w:val="005C0C57"/>
    <w:rsid w:val="005C107B"/>
    <w:rsid w:val="005C52F3"/>
    <w:rsid w:val="005C699F"/>
    <w:rsid w:val="005D093B"/>
    <w:rsid w:val="005D14A4"/>
    <w:rsid w:val="005D7039"/>
    <w:rsid w:val="00602864"/>
    <w:rsid w:val="00605FC4"/>
    <w:rsid w:val="0061382A"/>
    <w:rsid w:val="00614798"/>
    <w:rsid w:val="006157E4"/>
    <w:rsid w:val="00621021"/>
    <w:rsid w:val="00623622"/>
    <w:rsid w:val="00630D44"/>
    <w:rsid w:val="00635033"/>
    <w:rsid w:val="0063794D"/>
    <w:rsid w:val="00641B06"/>
    <w:rsid w:val="0064237B"/>
    <w:rsid w:val="00660406"/>
    <w:rsid w:val="00666895"/>
    <w:rsid w:val="0067035B"/>
    <w:rsid w:val="006713C6"/>
    <w:rsid w:val="006750E1"/>
    <w:rsid w:val="00681A5E"/>
    <w:rsid w:val="00686DB2"/>
    <w:rsid w:val="00686EFC"/>
    <w:rsid w:val="00687060"/>
    <w:rsid w:val="00692D16"/>
    <w:rsid w:val="0069485F"/>
    <w:rsid w:val="0069565F"/>
    <w:rsid w:val="006974BD"/>
    <w:rsid w:val="006A3761"/>
    <w:rsid w:val="006B0E86"/>
    <w:rsid w:val="006B1926"/>
    <w:rsid w:val="006B49BD"/>
    <w:rsid w:val="006C18CC"/>
    <w:rsid w:val="006C3863"/>
    <w:rsid w:val="006C5A25"/>
    <w:rsid w:val="006C5E76"/>
    <w:rsid w:val="006D23D1"/>
    <w:rsid w:val="006D5525"/>
    <w:rsid w:val="006D5D59"/>
    <w:rsid w:val="006D67F9"/>
    <w:rsid w:val="006E6C89"/>
    <w:rsid w:val="006F6D6D"/>
    <w:rsid w:val="00702427"/>
    <w:rsid w:val="00704A6F"/>
    <w:rsid w:val="00713747"/>
    <w:rsid w:val="00716D56"/>
    <w:rsid w:val="00722488"/>
    <w:rsid w:val="007243E2"/>
    <w:rsid w:val="00726C13"/>
    <w:rsid w:val="00744DB2"/>
    <w:rsid w:val="007467C0"/>
    <w:rsid w:val="00751FB6"/>
    <w:rsid w:val="00766616"/>
    <w:rsid w:val="00771C3F"/>
    <w:rsid w:val="00772674"/>
    <w:rsid w:val="0077351D"/>
    <w:rsid w:val="007761E4"/>
    <w:rsid w:val="00783C0B"/>
    <w:rsid w:val="00785A5F"/>
    <w:rsid w:val="00785E88"/>
    <w:rsid w:val="00787166"/>
    <w:rsid w:val="00787A52"/>
    <w:rsid w:val="0079108D"/>
    <w:rsid w:val="00797204"/>
    <w:rsid w:val="007A3F22"/>
    <w:rsid w:val="007A71E6"/>
    <w:rsid w:val="007D281D"/>
    <w:rsid w:val="007D2C0B"/>
    <w:rsid w:val="007E0668"/>
    <w:rsid w:val="007E0716"/>
    <w:rsid w:val="007F1E49"/>
    <w:rsid w:val="00807608"/>
    <w:rsid w:val="0081055C"/>
    <w:rsid w:val="008139AD"/>
    <w:rsid w:val="008168C9"/>
    <w:rsid w:val="00821746"/>
    <w:rsid w:val="0082485C"/>
    <w:rsid w:val="0082604B"/>
    <w:rsid w:val="008260C6"/>
    <w:rsid w:val="00832185"/>
    <w:rsid w:val="00834135"/>
    <w:rsid w:val="00834C71"/>
    <w:rsid w:val="00840242"/>
    <w:rsid w:val="0084055A"/>
    <w:rsid w:val="008431C5"/>
    <w:rsid w:val="0084678B"/>
    <w:rsid w:val="00850BA7"/>
    <w:rsid w:val="00852149"/>
    <w:rsid w:val="00854E10"/>
    <w:rsid w:val="00856B9A"/>
    <w:rsid w:val="008633A1"/>
    <w:rsid w:val="008702C3"/>
    <w:rsid w:val="008702CC"/>
    <w:rsid w:val="00871438"/>
    <w:rsid w:val="00871F5D"/>
    <w:rsid w:val="0087233B"/>
    <w:rsid w:val="008755A7"/>
    <w:rsid w:val="008770EA"/>
    <w:rsid w:val="00880F5B"/>
    <w:rsid w:val="00881118"/>
    <w:rsid w:val="0088323C"/>
    <w:rsid w:val="0088342B"/>
    <w:rsid w:val="00884C13"/>
    <w:rsid w:val="00886A72"/>
    <w:rsid w:val="00886D35"/>
    <w:rsid w:val="00887343"/>
    <w:rsid w:val="00891446"/>
    <w:rsid w:val="008937D3"/>
    <w:rsid w:val="00895A6E"/>
    <w:rsid w:val="00897506"/>
    <w:rsid w:val="00897927"/>
    <w:rsid w:val="008A0A14"/>
    <w:rsid w:val="008A1A36"/>
    <w:rsid w:val="008A1C2A"/>
    <w:rsid w:val="008A2AC6"/>
    <w:rsid w:val="008A3A67"/>
    <w:rsid w:val="008B215A"/>
    <w:rsid w:val="008B52EA"/>
    <w:rsid w:val="008B6C9E"/>
    <w:rsid w:val="008B78E2"/>
    <w:rsid w:val="008C1302"/>
    <w:rsid w:val="008C7253"/>
    <w:rsid w:val="008E1428"/>
    <w:rsid w:val="008E3F67"/>
    <w:rsid w:val="008E5ED5"/>
    <w:rsid w:val="008F0506"/>
    <w:rsid w:val="008F74B3"/>
    <w:rsid w:val="00905686"/>
    <w:rsid w:val="0091072E"/>
    <w:rsid w:val="0091615B"/>
    <w:rsid w:val="009163D7"/>
    <w:rsid w:val="00922137"/>
    <w:rsid w:val="00941415"/>
    <w:rsid w:val="009451DE"/>
    <w:rsid w:val="009503EF"/>
    <w:rsid w:val="00951142"/>
    <w:rsid w:val="009542A4"/>
    <w:rsid w:val="009566D3"/>
    <w:rsid w:val="009569EA"/>
    <w:rsid w:val="0096439B"/>
    <w:rsid w:val="00970BA4"/>
    <w:rsid w:val="00972774"/>
    <w:rsid w:val="009763C5"/>
    <w:rsid w:val="009814AD"/>
    <w:rsid w:val="009863E3"/>
    <w:rsid w:val="00991E48"/>
    <w:rsid w:val="00992B0D"/>
    <w:rsid w:val="009B0873"/>
    <w:rsid w:val="009B0AFB"/>
    <w:rsid w:val="009B1EFA"/>
    <w:rsid w:val="009B69EB"/>
    <w:rsid w:val="009C6A7E"/>
    <w:rsid w:val="009D03A3"/>
    <w:rsid w:val="009D3036"/>
    <w:rsid w:val="009D32F4"/>
    <w:rsid w:val="009D5F24"/>
    <w:rsid w:val="009D7B92"/>
    <w:rsid w:val="009E0CFB"/>
    <w:rsid w:val="009E1274"/>
    <w:rsid w:val="009E33C3"/>
    <w:rsid w:val="009F3BDC"/>
    <w:rsid w:val="00A05768"/>
    <w:rsid w:val="00A14232"/>
    <w:rsid w:val="00A247FB"/>
    <w:rsid w:val="00A248AD"/>
    <w:rsid w:val="00A32148"/>
    <w:rsid w:val="00A329F0"/>
    <w:rsid w:val="00A32AF6"/>
    <w:rsid w:val="00A3459A"/>
    <w:rsid w:val="00A378F2"/>
    <w:rsid w:val="00A4133F"/>
    <w:rsid w:val="00A417EF"/>
    <w:rsid w:val="00A42F79"/>
    <w:rsid w:val="00A63159"/>
    <w:rsid w:val="00A65A4B"/>
    <w:rsid w:val="00A766D4"/>
    <w:rsid w:val="00A76CD9"/>
    <w:rsid w:val="00A80E4C"/>
    <w:rsid w:val="00A8197E"/>
    <w:rsid w:val="00A83DAD"/>
    <w:rsid w:val="00A93098"/>
    <w:rsid w:val="00A94EA6"/>
    <w:rsid w:val="00AA0594"/>
    <w:rsid w:val="00AA08AD"/>
    <w:rsid w:val="00AA2A43"/>
    <w:rsid w:val="00AA3702"/>
    <w:rsid w:val="00AB4398"/>
    <w:rsid w:val="00AC17B9"/>
    <w:rsid w:val="00AC269F"/>
    <w:rsid w:val="00AC484C"/>
    <w:rsid w:val="00AD1F12"/>
    <w:rsid w:val="00AD1FF4"/>
    <w:rsid w:val="00AD307C"/>
    <w:rsid w:val="00AD35B2"/>
    <w:rsid w:val="00AD465D"/>
    <w:rsid w:val="00AE38F2"/>
    <w:rsid w:val="00AF3D5D"/>
    <w:rsid w:val="00B01EDB"/>
    <w:rsid w:val="00B05504"/>
    <w:rsid w:val="00B06E72"/>
    <w:rsid w:val="00B0741B"/>
    <w:rsid w:val="00B119EC"/>
    <w:rsid w:val="00B129EF"/>
    <w:rsid w:val="00B1342F"/>
    <w:rsid w:val="00B13EB3"/>
    <w:rsid w:val="00B1605B"/>
    <w:rsid w:val="00B31A15"/>
    <w:rsid w:val="00B34F6C"/>
    <w:rsid w:val="00B35708"/>
    <w:rsid w:val="00B429EB"/>
    <w:rsid w:val="00B42A3A"/>
    <w:rsid w:val="00B4405A"/>
    <w:rsid w:val="00B45D3B"/>
    <w:rsid w:val="00B46365"/>
    <w:rsid w:val="00B467D4"/>
    <w:rsid w:val="00B471DB"/>
    <w:rsid w:val="00B50120"/>
    <w:rsid w:val="00B614BB"/>
    <w:rsid w:val="00B62484"/>
    <w:rsid w:val="00B700FE"/>
    <w:rsid w:val="00B74984"/>
    <w:rsid w:val="00B77516"/>
    <w:rsid w:val="00B833A6"/>
    <w:rsid w:val="00B91C62"/>
    <w:rsid w:val="00BA4EF5"/>
    <w:rsid w:val="00BB3010"/>
    <w:rsid w:val="00BB5615"/>
    <w:rsid w:val="00BB6593"/>
    <w:rsid w:val="00BC0194"/>
    <w:rsid w:val="00BC245B"/>
    <w:rsid w:val="00BD016D"/>
    <w:rsid w:val="00BD28AD"/>
    <w:rsid w:val="00BD2C35"/>
    <w:rsid w:val="00BD5E5B"/>
    <w:rsid w:val="00BE76AF"/>
    <w:rsid w:val="00BF0064"/>
    <w:rsid w:val="00BF2094"/>
    <w:rsid w:val="00C0226D"/>
    <w:rsid w:val="00C0453A"/>
    <w:rsid w:val="00C15284"/>
    <w:rsid w:val="00C17204"/>
    <w:rsid w:val="00C17F78"/>
    <w:rsid w:val="00C20D48"/>
    <w:rsid w:val="00C212E5"/>
    <w:rsid w:val="00C25E03"/>
    <w:rsid w:val="00C262DF"/>
    <w:rsid w:val="00C31D53"/>
    <w:rsid w:val="00C3552F"/>
    <w:rsid w:val="00C35844"/>
    <w:rsid w:val="00C4243C"/>
    <w:rsid w:val="00C44B9B"/>
    <w:rsid w:val="00C45FC8"/>
    <w:rsid w:val="00C54306"/>
    <w:rsid w:val="00C57CF2"/>
    <w:rsid w:val="00C679B7"/>
    <w:rsid w:val="00C704C6"/>
    <w:rsid w:val="00C73754"/>
    <w:rsid w:val="00C82294"/>
    <w:rsid w:val="00C8695C"/>
    <w:rsid w:val="00C925A5"/>
    <w:rsid w:val="00C93389"/>
    <w:rsid w:val="00C94227"/>
    <w:rsid w:val="00C95DA6"/>
    <w:rsid w:val="00CA4ED8"/>
    <w:rsid w:val="00CA5F78"/>
    <w:rsid w:val="00CA69EB"/>
    <w:rsid w:val="00CB0EE7"/>
    <w:rsid w:val="00CB23F5"/>
    <w:rsid w:val="00CB5CE2"/>
    <w:rsid w:val="00CC00C8"/>
    <w:rsid w:val="00CC1656"/>
    <w:rsid w:val="00CD10F0"/>
    <w:rsid w:val="00CD4161"/>
    <w:rsid w:val="00CD4DB1"/>
    <w:rsid w:val="00CD5038"/>
    <w:rsid w:val="00CE4E0D"/>
    <w:rsid w:val="00CF24B3"/>
    <w:rsid w:val="00CF508B"/>
    <w:rsid w:val="00D01938"/>
    <w:rsid w:val="00D0356C"/>
    <w:rsid w:val="00D059F5"/>
    <w:rsid w:val="00D060F2"/>
    <w:rsid w:val="00D06A3F"/>
    <w:rsid w:val="00D0758D"/>
    <w:rsid w:val="00D100BE"/>
    <w:rsid w:val="00D11B18"/>
    <w:rsid w:val="00D14B3E"/>
    <w:rsid w:val="00D14BF5"/>
    <w:rsid w:val="00D159D6"/>
    <w:rsid w:val="00D23E1F"/>
    <w:rsid w:val="00D26B17"/>
    <w:rsid w:val="00D3198D"/>
    <w:rsid w:val="00D31B35"/>
    <w:rsid w:val="00D65767"/>
    <w:rsid w:val="00D66605"/>
    <w:rsid w:val="00D7413B"/>
    <w:rsid w:val="00D8235A"/>
    <w:rsid w:val="00D94BD6"/>
    <w:rsid w:val="00D95847"/>
    <w:rsid w:val="00D96C5E"/>
    <w:rsid w:val="00DA1031"/>
    <w:rsid w:val="00DA15DA"/>
    <w:rsid w:val="00DA3F1A"/>
    <w:rsid w:val="00DC05BD"/>
    <w:rsid w:val="00DC0BE1"/>
    <w:rsid w:val="00DC17CC"/>
    <w:rsid w:val="00DD50DE"/>
    <w:rsid w:val="00DD61A7"/>
    <w:rsid w:val="00DE1EE1"/>
    <w:rsid w:val="00DE204E"/>
    <w:rsid w:val="00DE4BF4"/>
    <w:rsid w:val="00DE5028"/>
    <w:rsid w:val="00DE7E4B"/>
    <w:rsid w:val="00DF0D4C"/>
    <w:rsid w:val="00DF61FE"/>
    <w:rsid w:val="00E0045C"/>
    <w:rsid w:val="00E037E8"/>
    <w:rsid w:val="00E065B0"/>
    <w:rsid w:val="00E06DEC"/>
    <w:rsid w:val="00E10A5F"/>
    <w:rsid w:val="00E22E55"/>
    <w:rsid w:val="00E231AB"/>
    <w:rsid w:val="00E26767"/>
    <w:rsid w:val="00E2772E"/>
    <w:rsid w:val="00E32B42"/>
    <w:rsid w:val="00E52C9A"/>
    <w:rsid w:val="00E53090"/>
    <w:rsid w:val="00E60E58"/>
    <w:rsid w:val="00E62D41"/>
    <w:rsid w:val="00E64427"/>
    <w:rsid w:val="00E67B99"/>
    <w:rsid w:val="00E735D9"/>
    <w:rsid w:val="00E7437C"/>
    <w:rsid w:val="00E757A8"/>
    <w:rsid w:val="00E82841"/>
    <w:rsid w:val="00E90728"/>
    <w:rsid w:val="00E90C2E"/>
    <w:rsid w:val="00E90C58"/>
    <w:rsid w:val="00E91D50"/>
    <w:rsid w:val="00E93AFE"/>
    <w:rsid w:val="00EA1512"/>
    <w:rsid w:val="00EC21A3"/>
    <w:rsid w:val="00ED2561"/>
    <w:rsid w:val="00ED53EF"/>
    <w:rsid w:val="00EE21FB"/>
    <w:rsid w:val="00EE2707"/>
    <w:rsid w:val="00EE2AF2"/>
    <w:rsid w:val="00EF040A"/>
    <w:rsid w:val="00F015F3"/>
    <w:rsid w:val="00F0783B"/>
    <w:rsid w:val="00F11EF3"/>
    <w:rsid w:val="00F141C3"/>
    <w:rsid w:val="00F15358"/>
    <w:rsid w:val="00F15F5F"/>
    <w:rsid w:val="00F27E6A"/>
    <w:rsid w:val="00F33589"/>
    <w:rsid w:val="00F3462F"/>
    <w:rsid w:val="00F347FC"/>
    <w:rsid w:val="00F417EE"/>
    <w:rsid w:val="00F52A4E"/>
    <w:rsid w:val="00F53BD2"/>
    <w:rsid w:val="00F66B9A"/>
    <w:rsid w:val="00F74959"/>
    <w:rsid w:val="00F76C32"/>
    <w:rsid w:val="00F90E52"/>
    <w:rsid w:val="00F9104F"/>
    <w:rsid w:val="00FA124C"/>
    <w:rsid w:val="00FA35E4"/>
    <w:rsid w:val="00FA3953"/>
    <w:rsid w:val="00FB29EA"/>
    <w:rsid w:val="00FB32A5"/>
    <w:rsid w:val="00FB3FD8"/>
    <w:rsid w:val="00FB4D22"/>
    <w:rsid w:val="00FB6D17"/>
    <w:rsid w:val="00FB73C7"/>
    <w:rsid w:val="00FB7E3A"/>
    <w:rsid w:val="00FC1839"/>
    <w:rsid w:val="00FC234C"/>
    <w:rsid w:val="00FC3289"/>
    <w:rsid w:val="00FC3896"/>
    <w:rsid w:val="00FC4B98"/>
    <w:rsid w:val="00FD0CD5"/>
    <w:rsid w:val="00FE0473"/>
    <w:rsid w:val="00FE3172"/>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C5DE10-E5E8-469C-B490-DDDD353F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link w:val="a8"/>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FC4B98"/>
    <w:rPr>
      <w:rFonts w:ascii="Tahoma" w:hAnsi="Tahoma"/>
      <w:sz w:val="16"/>
      <w:szCs w:val="16"/>
    </w:rPr>
  </w:style>
  <w:style w:type="character" w:customStyle="1" w:styleId="aa">
    <w:name w:val="Текст выноски Знак"/>
    <w:link w:val="a9"/>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b">
    <w:name w:val="No Spacing"/>
    <w:uiPriority w:val="1"/>
    <w:qFormat/>
    <w:rsid w:val="00C31D53"/>
    <w:pPr>
      <w:autoSpaceDE w:val="0"/>
      <w:autoSpaceDN w:val="0"/>
    </w:pPr>
    <w:rPr>
      <w:rFonts w:ascii="Times New Roman" w:hAnsi="Times New Roman"/>
    </w:rPr>
  </w:style>
  <w:style w:type="character" w:styleId="ac">
    <w:name w:val="Hyperlink"/>
    <w:uiPriority w:val="99"/>
    <w:unhideWhenUsed/>
    <w:rsid w:val="00E735D9"/>
    <w:rPr>
      <w:rFonts w:cs="Times New Roman"/>
      <w:color w:val="0000FF"/>
      <w:u w:val="single"/>
    </w:rPr>
  </w:style>
  <w:style w:type="paragraph" w:styleId="ad">
    <w:name w:val="Normal Indent"/>
    <w:aliases w:val="Знак1"/>
    <w:basedOn w:val="a"/>
    <w:link w:val="ae"/>
    <w:uiPriority w:val="99"/>
    <w:rsid w:val="00FB32A5"/>
    <w:pPr>
      <w:tabs>
        <w:tab w:val="left" w:pos="291"/>
      </w:tabs>
      <w:autoSpaceDE/>
      <w:autoSpaceDN/>
      <w:ind w:left="708"/>
    </w:pPr>
    <w:rPr>
      <w:rFonts w:ascii="Arial" w:hAnsi="Arial"/>
      <w:lang w:eastAsia="en-US"/>
    </w:rPr>
  </w:style>
  <w:style w:type="character" w:customStyle="1" w:styleId="ae">
    <w:name w:val="Обычный отступ Знак"/>
    <w:aliases w:val="Знак1 Знак"/>
    <w:link w:val="ad"/>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f">
    <w:name w:val="page number"/>
    <w:basedOn w:val="a0"/>
    <w:rsid w:val="00702427"/>
  </w:style>
  <w:style w:type="character" w:customStyle="1" w:styleId="SUBST">
    <w:name w:val="__SUBST"/>
    <w:uiPriority w:val="99"/>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uiPriority w:val="99"/>
    <w:rsid w:val="00C82294"/>
    <w:pPr>
      <w:keepNext/>
      <w:numPr>
        <w:ilvl w:val="12"/>
      </w:numPr>
      <w:autoSpaceDE/>
      <w:autoSpaceDN/>
      <w:spacing w:before="240"/>
      <w:jc w:val="both"/>
    </w:pPr>
    <w:rPr>
      <w:b/>
      <w:bCs/>
      <w:i/>
      <w:iCs/>
      <w:sz w:val="22"/>
      <w:szCs w:val="22"/>
    </w:rPr>
  </w:style>
  <w:style w:type="paragraph" w:styleId="af0">
    <w:name w:val="Document Map"/>
    <w:basedOn w:val="a"/>
    <w:semiHidden/>
    <w:rsid w:val="00100EB3"/>
    <w:pPr>
      <w:shd w:val="clear" w:color="auto" w:fill="000080"/>
    </w:pPr>
    <w:rPr>
      <w:rFonts w:ascii="Tahoma" w:hAnsi="Tahoma" w:cs="Tahoma"/>
    </w:rPr>
  </w:style>
  <w:style w:type="character" w:styleId="af1">
    <w:name w:val="annotation reference"/>
    <w:basedOn w:val="a0"/>
    <w:uiPriority w:val="99"/>
    <w:rsid w:val="009814AD"/>
    <w:rPr>
      <w:sz w:val="16"/>
      <w:szCs w:val="16"/>
    </w:rPr>
  </w:style>
  <w:style w:type="paragraph" w:styleId="af2">
    <w:name w:val="annotation text"/>
    <w:basedOn w:val="a"/>
    <w:link w:val="af3"/>
    <w:uiPriority w:val="99"/>
    <w:rsid w:val="009814AD"/>
  </w:style>
  <w:style w:type="character" w:customStyle="1" w:styleId="af3">
    <w:name w:val="Текст примечания Знак"/>
    <w:basedOn w:val="a0"/>
    <w:link w:val="af2"/>
    <w:uiPriority w:val="99"/>
    <w:rsid w:val="009814AD"/>
    <w:rPr>
      <w:rFonts w:ascii="Times New Roman" w:hAnsi="Times New Roman"/>
    </w:rPr>
  </w:style>
  <w:style w:type="paragraph" w:styleId="af4">
    <w:name w:val="annotation subject"/>
    <w:basedOn w:val="af2"/>
    <w:next w:val="af2"/>
    <w:link w:val="af5"/>
    <w:uiPriority w:val="99"/>
    <w:rsid w:val="009814AD"/>
    <w:rPr>
      <w:b/>
      <w:bCs/>
    </w:rPr>
  </w:style>
  <w:style w:type="character" w:customStyle="1" w:styleId="af5">
    <w:name w:val="Тема примечания Знак"/>
    <w:basedOn w:val="af3"/>
    <w:link w:val="af4"/>
    <w:uiPriority w:val="99"/>
    <w:rsid w:val="009814AD"/>
    <w:rPr>
      <w:rFonts w:ascii="Times New Roman" w:hAnsi="Times New Roman"/>
      <w:b/>
      <w:bCs/>
    </w:rPr>
  </w:style>
  <w:style w:type="paragraph" w:styleId="af6">
    <w:name w:val="Normal (Web)"/>
    <w:basedOn w:val="a"/>
    <w:unhideWhenUsed/>
    <w:rsid w:val="00660406"/>
    <w:pPr>
      <w:autoSpaceDE/>
      <w:autoSpaceDN/>
      <w:spacing w:before="100" w:beforeAutospacing="1" w:after="100" w:afterAutospacing="1"/>
    </w:pPr>
    <w:rPr>
      <w:sz w:val="24"/>
      <w:szCs w:val="24"/>
    </w:rPr>
  </w:style>
  <w:style w:type="table" w:styleId="af7">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343765"/>
    <w:pPr>
      <w:autoSpaceDE/>
      <w:autoSpaceDN/>
      <w:ind w:left="540"/>
      <w:jc w:val="both"/>
    </w:pPr>
    <w:rPr>
      <w:rFonts w:ascii="Arial" w:eastAsia="SimSun" w:hAnsi="Arial" w:cs="Arial"/>
      <w:b/>
      <w:bCs/>
      <w:szCs w:val="22"/>
      <w:lang w:eastAsia="en-US"/>
    </w:rPr>
  </w:style>
  <w:style w:type="character" w:customStyle="1" w:styleId="af9">
    <w:name w:val="Основной текст с отступом Знак"/>
    <w:basedOn w:val="a0"/>
    <w:link w:val="af8"/>
    <w:rsid w:val="00343765"/>
    <w:rPr>
      <w:rFonts w:ascii="Arial" w:eastAsia="SimSun" w:hAnsi="Arial" w:cs="Arial"/>
      <w:b/>
      <w:bCs/>
      <w:szCs w:val="22"/>
      <w:lang w:eastAsia="en-US"/>
    </w:rPr>
  </w:style>
  <w:style w:type="paragraph" w:styleId="3">
    <w:name w:val="Body Text 3"/>
    <w:basedOn w:val="a"/>
    <w:link w:val="30"/>
    <w:uiPriority w:val="99"/>
    <w:rsid w:val="00343765"/>
    <w:pPr>
      <w:spacing w:after="120"/>
    </w:pPr>
    <w:rPr>
      <w:sz w:val="16"/>
      <w:szCs w:val="16"/>
    </w:rPr>
  </w:style>
  <w:style w:type="character" w:customStyle="1" w:styleId="30">
    <w:name w:val="Основной текст 3 Знак"/>
    <w:basedOn w:val="a0"/>
    <w:link w:val="3"/>
    <w:uiPriority w:val="99"/>
    <w:rsid w:val="00343765"/>
    <w:rPr>
      <w:rFonts w:ascii="Times New Roman" w:hAnsi="Times New Roman"/>
      <w:sz w:val="16"/>
      <w:szCs w:val="16"/>
    </w:rPr>
  </w:style>
  <w:style w:type="character" w:customStyle="1" w:styleId="a8">
    <w:name w:val="Абзац списка Знак"/>
    <w:basedOn w:val="a0"/>
    <w:link w:val="a7"/>
    <w:uiPriority w:val="34"/>
    <w:locked/>
    <w:rsid w:val="006C5E76"/>
    <w:rPr>
      <w:sz w:val="22"/>
      <w:szCs w:val="22"/>
      <w:lang w:eastAsia="en-US"/>
    </w:rPr>
  </w:style>
  <w:style w:type="paragraph" w:customStyle="1" w:styleId="Default">
    <w:name w:val="Default"/>
    <w:rsid w:val="00B429EB"/>
    <w:pPr>
      <w:widowControl w:val="0"/>
      <w:autoSpaceDE w:val="0"/>
      <w:autoSpaceDN w:val="0"/>
      <w:adjustRightInd w:val="0"/>
    </w:pPr>
    <w:rPr>
      <w:rFonts w:ascii="Times New Roman" w:eastAsiaTheme="minorEastAsia" w:hAnsi="Times New Roman"/>
      <w:color w:val="000000"/>
      <w:sz w:val="24"/>
      <w:szCs w:val="24"/>
    </w:rPr>
  </w:style>
  <w:style w:type="paragraph" w:customStyle="1" w:styleId="Style9">
    <w:name w:val="Style9"/>
    <w:basedOn w:val="a"/>
    <w:uiPriority w:val="99"/>
    <w:rsid w:val="00B429EB"/>
    <w:pPr>
      <w:widowControl w:val="0"/>
      <w:adjustRightInd w:val="0"/>
      <w:spacing w:line="277" w:lineRule="exact"/>
      <w:jc w:val="both"/>
    </w:pPr>
    <w:rPr>
      <w:sz w:val="24"/>
      <w:szCs w:val="24"/>
    </w:rPr>
  </w:style>
  <w:style w:type="character" w:customStyle="1" w:styleId="FontStyle65">
    <w:name w:val="Font Style65"/>
    <w:uiPriority w:val="99"/>
    <w:rsid w:val="00B429EB"/>
    <w:rPr>
      <w:rFonts w:ascii="Times New Roman" w:hAnsi="Times New Roman"/>
      <w:color w:val="000000"/>
      <w:sz w:val="20"/>
    </w:rPr>
  </w:style>
  <w:style w:type="paragraph" w:customStyle="1" w:styleId="BodyTextbt">
    <w:name w:val="Body Text.bt"/>
    <w:basedOn w:val="a"/>
    <w:uiPriority w:val="99"/>
    <w:rsid w:val="00B429EB"/>
    <w:pPr>
      <w:jc w:val="both"/>
    </w:pPr>
    <w:rPr>
      <w:b/>
      <w:bCs/>
      <w:i/>
      <w:iCs/>
      <w:sz w:val="22"/>
      <w:szCs w:val="22"/>
    </w:rPr>
  </w:style>
  <w:style w:type="paragraph" w:customStyle="1" w:styleId="TableText">
    <w:name w:val="Table Text"/>
    <w:uiPriority w:val="99"/>
    <w:rsid w:val="00B429EB"/>
    <w:pPr>
      <w:widowControl w:val="0"/>
      <w:autoSpaceDE w:val="0"/>
      <w:autoSpaceDN w:val="0"/>
      <w:adjustRightInd w:val="0"/>
      <w:spacing w:before="20" w:after="20"/>
    </w:pPr>
    <w:rPr>
      <w:rFonts w:ascii="Times New Roman" w:eastAsia="SimSun" w:hAnsi="Times New Roman"/>
    </w:rPr>
  </w:style>
  <w:style w:type="paragraph" w:customStyle="1" w:styleId="AOHead6">
    <w:name w:val="AOHead6"/>
    <w:basedOn w:val="a"/>
    <w:next w:val="a"/>
    <w:rsid w:val="00B429EB"/>
    <w:pPr>
      <w:numPr>
        <w:ilvl w:val="5"/>
        <w:numId w:val="23"/>
      </w:numPr>
      <w:autoSpaceDE/>
      <w:autoSpaceDN/>
      <w:spacing w:before="240" w:line="260" w:lineRule="atLeast"/>
      <w:ind w:left="1180" w:hanging="1080"/>
      <w:jc w:val="both"/>
      <w:outlineLvl w:val="5"/>
    </w:pPr>
    <w:rPr>
      <w:sz w:val="22"/>
      <w:szCs w:val="22"/>
      <w:lang w:val="en-GB" w:eastAsia="en-US"/>
    </w:rPr>
  </w:style>
  <w:style w:type="paragraph" w:customStyle="1" w:styleId="AOHead5">
    <w:name w:val="AOHead5"/>
    <w:basedOn w:val="a"/>
    <w:next w:val="a"/>
    <w:rsid w:val="00B429EB"/>
    <w:pPr>
      <w:numPr>
        <w:ilvl w:val="4"/>
        <w:numId w:val="23"/>
      </w:numPr>
      <w:autoSpaceDE/>
      <w:autoSpaceDN/>
      <w:spacing w:before="240" w:line="260" w:lineRule="atLeast"/>
      <w:ind w:left="1160" w:hanging="1080"/>
      <w:jc w:val="both"/>
      <w:outlineLvl w:val="4"/>
    </w:pPr>
    <w:rPr>
      <w:sz w:val="22"/>
      <w:szCs w:val="22"/>
      <w:lang w:val="en-GB" w:eastAsia="en-US"/>
    </w:rPr>
  </w:style>
  <w:style w:type="paragraph" w:customStyle="1" w:styleId="AOHead4">
    <w:name w:val="AOHead4"/>
    <w:basedOn w:val="a"/>
    <w:next w:val="a"/>
    <w:rsid w:val="00B429EB"/>
    <w:pPr>
      <w:numPr>
        <w:ilvl w:val="3"/>
        <w:numId w:val="23"/>
      </w:numPr>
      <w:autoSpaceDE/>
      <w:autoSpaceDN/>
      <w:spacing w:before="240" w:line="260" w:lineRule="atLeast"/>
      <w:ind w:left="780"/>
      <w:jc w:val="both"/>
      <w:outlineLvl w:val="3"/>
    </w:pPr>
    <w:rPr>
      <w:sz w:val="22"/>
      <w:szCs w:val="22"/>
      <w:lang w:val="en-GB" w:eastAsia="en-US"/>
    </w:rPr>
  </w:style>
  <w:style w:type="paragraph" w:customStyle="1" w:styleId="AOHead3">
    <w:name w:val="AOHead3"/>
    <w:basedOn w:val="a"/>
    <w:next w:val="a"/>
    <w:rsid w:val="00B429EB"/>
    <w:pPr>
      <w:numPr>
        <w:ilvl w:val="2"/>
        <w:numId w:val="23"/>
      </w:numPr>
      <w:autoSpaceDE/>
      <w:autoSpaceDN/>
      <w:spacing w:before="240" w:line="260" w:lineRule="atLeast"/>
      <w:ind w:left="760"/>
      <w:jc w:val="both"/>
      <w:outlineLvl w:val="2"/>
    </w:pPr>
    <w:rPr>
      <w:sz w:val="22"/>
      <w:szCs w:val="22"/>
      <w:lang w:val="en-GB" w:eastAsia="en-US"/>
    </w:rPr>
  </w:style>
  <w:style w:type="paragraph" w:customStyle="1" w:styleId="AOHead2">
    <w:name w:val="AOHead2"/>
    <w:basedOn w:val="a"/>
    <w:next w:val="a"/>
    <w:rsid w:val="00B429EB"/>
    <w:pPr>
      <w:keepNext/>
      <w:numPr>
        <w:ilvl w:val="1"/>
        <w:numId w:val="23"/>
      </w:numPr>
      <w:autoSpaceDE/>
      <w:autoSpaceDN/>
      <w:spacing w:before="240" w:line="260" w:lineRule="atLeast"/>
      <w:ind w:left="524" w:hanging="504"/>
      <w:jc w:val="both"/>
      <w:outlineLvl w:val="1"/>
    </w:pPr>
    <w:rPr>
      <w:b/>
      <w:sz w:val="22"/>
      <w:szCs w:val="22"/>
      <w:lang w:val="en-GB" w:eastAsia="en-US"/>
    </w:rPr>
  </w:style>
  <w:style w:type="paragraph" w:customStyle="1" w:styleId="AOHead1">
    <w:name w:val="AOHead1"/>
    <w:basedOn w:val="a"/>
    <w:next w:val="a"/>
    <w:rsid w:val="00B429EB"/>
    <w:pPr>
      <w:keepNext/>
      <w:numPr>
        <w:numId w:val="23"/>
      </w:numPr>
      <w:autoSpaceDE/>
      <w:autoSpaceDN/>
      <w:spacing w:before="240" w:line="260" w:lineRule="atLeast"/>
      <w:ind w:left="504" w:hanging="504"/>
      <w:jc w:val="both"/>
      <w:outlineLvl w:val="0"/>
    </w:pPr>
    <w:rPr>
      <w:b/>
      <w:caps/>
      <w:kern w:val="28"/>
      <w:sz w:val="22"/>
      <w:szCs w:val="22"/>
      <w:lang w:val="en-GB" w:eastAsia="en-US"/>
    </w:rPr>
  </w:style>
  <w:style w:type="paragraph" w:customStyle="1" w:styleId="Style24">
    <w:name w:val="Style24"/>
    <w:basedOn w:val="a"/>
    <w:uiPriority w:val="99"/>
    <w:rsid w:val="00B429EB"/>
    <w:pPr>
      <w:widowControl w:val="0"/>
      <w:adjustRightInd w:val="0"/>
      <w:spacing w:line="254" w:lineRule="exact"/>
      <w:ind w:firstLine="72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1782532581">
      <w:bodyDiv w:val="1"/>
      <w:marLeft w:val="0"/>
      <w:marRight w:val="0"/>
      <w:marTop w:val="0"/>
      <w:marBottom w:val="0"/>
      <w:divBdr>
        <w:top w:val="none" w:sz="0" w:space="0" w:color="auto"/>
        <w:left w:val="none" w:sz="0" w:space="0" w:color="auto"/>
        <w:bottom w:val="none" w:sz="0" w:space="0" w:color="auto"/>
        <w:right w:val="none" w:sz="0" w:space="0" w:color="auto"/>
      </w:divBdr>
      <w:divsChild>
        <w:div w:id="1100417191">
          <w:marLeft w:val="0"/>
          <w:marRight w:val="0"/>
          <w:marTop w:val="0"/>
          <w:marBottom w:val="0"/>
          <w:divBdr>
            <w:top w:val="none" w:sz="0" w:space="0" w:color="auto"/>
            <w:left w:val="none" w:sz="0" w:space="0" w:color="auto"/>
            <w:bottom w:val="none" w:sz="0" w:space="0" w:color="auto"/>
            <w:right w:val="none" w:sz="0" w:space="0" w:color="auto"/>
          </w:divBdr>
          <w:divsChild>
            <w:div w:id="209000731">
              <w:marLeft w:val="0"/>
              <w:marRight w:val="0"/>
              <w:marTop w:val="0"/>
              <w:marBottom w:val="0"/>
              <w:divBdr>
                <w:top w:val="none" w:sz="0" w:space="0" w:color="auto"/>
                <w:left w:val="none" w:sz="0" w:space="0" w:color="auto"/>
                <w:bottom w:val="none" w:sz="0" w:space="0" w:color="auto"/>
                <w:right w:val="none" w:sz="0" w:space="0" w:color="auto"/>
              </w:divBdr>
              <w:divsChild>
                <w:div w:id="1696806876">
                  <w:marLeft w:val="0"/>
                  <w:marRight w:val="0"/>
                  <w:marTop w:val="0"/>
                  <w:marBottom w:val="0"/>
                  <w:divBdr>
                    <w:top w:val="none" w:sz="0" w:space="0" w:color="auto"/>
                    <w:left w:val="none" w:sz="0" w:space="0" w:color="auto"/>
                    <w:bottom w:val="none" w:sz="0" w:space="0" w:color="auto"/>
                    <w:right w:val="none" w:sz="0" w:space="0" w:color="auto"/>
                  </w:divBdr>
                  <w:divsChild>
                    <w:div w:id="1920289927">
                      <w:marLeft w:val="0"/>
                      <w:marRight w:val="0"/>
                      <w:marTop w:val="0"/>
                      <w:marBottom w:val="0"/>
                      <w:divBdr>
                        <w:top w:val="none" w:sz="0" w:space="0" w:color="auto"/>
                        <w:left w:val="none" w:sz="0" w:space="0" w:color="auto"/>
                        <w:bottom w:val="none" w:sz="0" w:space="0" w:color="auto"/>
                        <w:right w:val="none" w:sz="0" w:space="0" w:color="auto"/>
                      </w:divBdr>
                      <w:divsChild>
                        <w:div w:id="15866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2032</Words>
  <Characters>11583</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13588</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Лихачева Анастасия Николаевна</cp:lastModifiedBy>
  <cp:revision>3</cp:revision>
  <cp:lastPrinted>2013-07-22T15:43:00Z</cp:lastPrinted>
  <dcterms:created xsi:type="dcterms:W3CDTF">2021-04-14T13:59:00Z</dcterms:created>
  <dcterms:modified xsi:type="dcterms:W3CDTF">2021-04-14T16:21:00Z</dcterms:modified>
</cp:coreProperties>
</file>