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78" w:rsidRPr="005C7678" w:rsidRDefault="005C7678" w:rsidP="005C7678">
      <w:pPr>
        <w:shd w:val="clear" w:color="auto" w:fill="F4F4F4"/>
        <w:spacing w:after="240" w:line="300" w:lineRule="atLeast"/>
        <w:outlineLvl w:val="0"/>
        <w:rPr>
          <w:rFonts w:ascii="Helvetica" w:eastAsia="Times New Roman" w:hAnsi="Helvetica" w:cs="Helvetica"/>
          <w:color w:val="FF8A0D"/>
          <w:kern w:val="36"/>
          <w:sz w:val="20"/>
          <w:szCs w:val="20"/>
          <w:lang w:eastAsia="ru-RU"/>
        </w:rPr>
      </w:pPr>
      <w:r w:rsidRPr="005C7678">
        <w:rPr>
          <w:rFonts w:ascii="Helvetica" w:eastAsia="Times New Roman" w:hAnsi="Helvetica" w:cs="Helvetica"/>
          <w:color w:val="FF8A0D"/>
          <w:kern w:val="36"/>
          <w:sz w:val="20"/>
          <w:szCs w:val="20"/>
          <w:lang w:eastAsia="ru-RU"/>
        </w:rPr>
        <w:t>Вклад «Ключевой»</w:t>
      </w:r>
    </w:p>
    <w:p w:rsidR="005C7678" w:rsidRPr="005C7678" w:rsidRDefault="005C7678" w:rsidP="005C7678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0B4D63"/>
          <w:sz w:val="20"/>
          <w:szCs w:val="20"/>
          <w:u w:val="single"/>
          <w:lang w:eastAsia="ru-RU"/>
        </w:rPr>
      </w:pP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begin"/>
      </w: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instrText xml:space="preserve"> HYPERLINK "http://expobank.ru/home/deposits/comparison/" </w:instrText>
      </w: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separate"/>
      </w:r>
    </w:p>
    <w:p w:rsidR="005C7678" w:rsidRPr="005C7678" w:rsidRDefault="005C7678" w:rsidP="005C7678">
      <w:pPr>
        <w:shd w:val="clear" w:color="auto" w:fill="F4F4F4"/>
        <w:spacing w:after="0" w:line="300" w:lineRule="atLeast"/>
        <w:rPr>
          <w:rFonts w:ascii="Times New Roman" w:eastAsia="Times New Roman" w:hAnsi="Times New Roman" w:cs="Times New Roman"/>
          <w:color w:val="2C3C42"/>
          <w:sz w:val="20"/>
          <w:szCs w:val="20"/>
          <w:lang w:eastAsia="ru-RU"/>
        </w:rPr>
      </w:pP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fldChar w:fldCharType="end"/>
      </w:r>
    </w:p>
    <w:p w:rsidR="005C7678" w:rsidRPr="005C7678" w:rsidRDefault="005C7678" w:rsidP="005C767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Возможность выбора срока вклада с точностью до одного дня: от 7 до 365 дней</w:t>
      </w:r>
    </w:p>
    <w:p w:rsidR="005C7678" w:rsidRPr="005C7678" w:rsidRDefault="005C7678" w:rsidP="005C767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Возможность пополнения вклада* </w:t>
      </w:r>
    </w:p>
    <w:p w:rsidR="005C7678" w:rsidRPr="005C7678" w:rsidRDefault="005C7678" w:rsidP="005C767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Ежемесячная выплата процентов на выбор клиента: капитализация (причисление к сумме вклада) или выплата на текущий счет Клиента</w:t>
      </w:r>
    </w:p>
    <w:p w:rsidR="005C7678" w:rsidRPr="005C7678" w:rsidRDefault="005C7678" w:rsidP="005C767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Минимальная первоначальная сумма вклада – 50 000 рублей</w:t>
      </w:r>
    </w:p>
    <w:p w:rsidR="005C7678" w:rsidRPr="005C7678" w:rsidRDefault="005C7678" w:rsidP="005C767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Максимальная сумма вклада с учетом возможных пополнений – 5000 000 рублей</w:t>
      </w:r>
    </w:p>
    <w:p w:rsidR="005C7678" w:rsidRPr="005C7678" w:rsidRDefault="005C7678" w:rsidP="005C767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Возможность частичного снятия средств***</w:t>
      </w:r>
    </w:p>
    <w:p w:rsidR="005C7678" w:rsidRPr="005C7678" w:rsidRDefault="005C7678" w:rsidP="005C767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При досрочном расторжении вклада проценты пересчитываются по ставке вклада «до востребования» (0,01% годов</w:t>
      </w:r>
      <w:bookmarkStart w:id="0" w:name="_GoBack"/>
      <w:bookmarkEnd w:id="0"/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ых) за фактическое количество дней нахождения средств </w:t>
      </w:r>
      <w:proofErr w:type="gramStart"/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по</w:t>
      </w:r>
      <w:proofErr w:type="gramEnd"/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 вкладе.</w:t>
      </w:r>
    </w:p>
    <w:p w:rsidR="005C7678" w:rsidRPr="005C7678" w:rsidRDefault="005C7678" w:rsidP="005C7678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В случае </w:t>
      </w:r>
      <w:proofErr w:type="spellStart"/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>невостребования</w:t>
      </w:r>
      <w:proofErr w:type="spellEnd"/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 Вклада в день его возврата Договор автоматически пролонгируется на следующий срок на условиях, действующих для данного вида Вклада на момент пролонгации. Если к моменту пролонгации Договора Банком был прекращен прием денежных средств во Вклад «Привилегия», автоматическая пролонгация Вклада производится во Вклад «Базовый», на условиях, действующих для данного вида Вклада на момент пролонгации. 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42"/>
        <w:gridCol w:w="6633"/>
      </w:tblGrid>
      <w:tr w:rsidR="005C7678" w:rsidRPr="005C7678" w:rsidTr="005C7678">
        <w:tc>
          <w:tcPr>
            <w:tcW w:w="1500" w:type="pct"/>
            <w:shd w:val="clear" w:color="auto" w:fill="0C556E"/>
            <w:vAlign w:val="center"/>
            <w:hideMark/>
          </w:tcPr>
          <w:p w:rsidR="005C7678" w:rsidRPr="005C7678" w:rsidRDefault="005C7678" w:rsidP="005C767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C7678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Срок вклада, дни</w:t>
            </w:r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00" w:type="pct"/>
            <w:shd w:val="clear" w:color="auto" w:fill="0C556E"/>
            <w:vAlign w:val="center"/>
            <w:hideMark/>
          </w:tcPr>
          <w:p w:rsidR="005C7678" w:rsidRPr="005C7678" w:rsidRDefault="005C7678" w:rsidP="005C767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C7678">
              <w:rPr>
                <w:rFonts w:ascii="Helvetica" w:eastAsia="Times New Roman" w:hAnsi="Helvetica" w:cs="Helvetica"/>
                <w:b/>
                <w:bCs/>
                <w:color w:val="FFFFFF"/>
                <w:sz w:val="20"/>
                <w:szCs w:val="20"/>
                <w:lang w:eastAsia="ru-RU"/>
              </w:rPr>
              <w:t>Ставка</w:t>
            </w:r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7678" w:rsidRPr="005C7678" w:rsidTr="005C7678">
        <w:tc>
          <w:tcPr>
            <w:tcW w:w="0" w:type="auto"/>
            <w:shd w:val="clear" w:color="auto" w:fill="C6DDE5"/>
            <w:vAlign w:val="center"/>
            <w:hideMark/>
          </w:tcPr>
          <w:p w:rsidR="005C7678" w:rsidRPr="005C7678" w:rsidRDefault="005C7678" w:rsidP="005C767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7 - 90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5C7678" w:rsidRPr="005C7678" w:rsidRDefault="005C7678" w:rsidP="005C767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 xml:space="preserve">ключевая ставка ЦБ - 3 </w:t>
            </w:r>
            <w:proofErr w:type="spellStart"/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п.п</w:t>
            </w:r>
            <w:proofErr w:type="spellEnd"/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. ****</w:t>
            </w:r>
          </w:p>
        </w:tc>
      </w:tr>
      <w:tr w:rsidR="005C7678" w:rsidRPr="005C7678" w:rsidTr="005C7678">
        <w:tc>
          <w:tcPr>
            <w:tcW w:w="0" w:type="auto"/>
            <w:vAlign w:val="center"/>
            <w:hideMark/>
          </w:tcPr>
          <w:p w:rsidR="005C7678" w:rsidRPr="005C7678" w:rsidRDefault="005C7678" w:rsidP="005C767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91 - 180</w:t>
            </w:r>
          </w:p>
        </w:tc>
        <w:tc>
          <w:tcPr>
            <w:tcW w:w="0" w:type="auto"/>
            <w:vAlign w:val="center"/>
            <w:hideMark/>
          </w:tcPr>
          <w:p w:rsidR="005C7678" w:rsidRPr="005C7678" w:rsidRDefault="005C7678" w:rsidP="005C767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 xml:space="preserve">ключевая ставка ЦБ - 2 </w:t>
            </w:r>
            <w:proofErr w:type="spellStart"/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п.п</w:t>
            </w:r>
            <w:proofErr w:type="spellEnd"/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. ****</w:t>
            </w:r>
          </w:p>
        </w:tc>
      </w:tr>
      <w:tr w:rsidR="005C7678" w:rsidRPr="005C7678" w:rsidTr="005C7678">
        <w:tc>
          <w:tcPr>
            <w:tcW w:w="0" w:type="auto"/>
            <w:shd w:val="clear" w:color="auto" w:fill="C6DDE5"/>
            <w:vAlign w:val="center"/>
            <w:hideMark/>
          </w:tcPr>
          <w:p w:rsidR="005C7678" w:rsidRPr="005C7678" w:rsidRDefault="005C7678" w:rsidP="005C767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180 - 365</w:t>
            </w:r>
          </w:p>
        </w:tc>
        <w:tc>
          <w:tcPr>
            <w:tcW w:w="0" w:type="auto"/>
            <w:shd w:val="clear" w:color="auto" w:fill="C6DDE5"/>
            <w:vAlign w:val="center"/>
            <w:hideMark/>
          </w:tcPr>
          <w:p w:rsidR="005C7678" w:rsidRPr="005C7678" w:rsidRDefault="005C7678" w:rsidP="005C7678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</w:pPr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 xml:space="preserve">ключевая ставка ЦБ - 1 </w:t>
            </w:r>
            <w:proofErr w:type="spellStart"/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п.п</w:t>
            </w:r>
            <w:proofErr w:type="spellEnd"/>
            <w:r w:rsidRPr="005C7678">
              <w:rPr>
                <w:rFonts w:ascii="Helvetica" w:eastAsia="Times New Roman" w:hAnsi="Helvetica" w:cs="Helvetica"/>
                <w:color w:val="2C3C42"/>
                <w:sz w:val="20"/>
                <w:szCs w:val="20"/>
                <w:lang w:eastAsia="ru-RU"/>
              </w:rPr>
              <w:t>. ****</w:t>
            </w:r>
          </w:p>
        </w:tc>
      </w:tr>
    </w:tbl>
    <w:p w:rsidR="005C7678" w:rsidRPr="005C7678" w:rsidRDefault="005C7678" w:rsidP="005C7678">
      <w:pPr>
        <w:shd w:val="clear" w:color="auto" w:fill="F4F4F4"/>
        <w:spacing w:after="0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</w:p>
    <w:p w:rsidR="005C7678" w:rsidRPr="005C7678" w:rsidRDefault="005C7678" w:rsidP="005C7678">
      <w:pPr>
        <w:shd w:val="clear" w:color="auto" w:fill="F4F4F4"/>
        <w:spacing w:after="0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</w:p>
    <w:p w:rsidR="005C7678" w:rsidRPr="005C7678" w:rsidRDefault="005C7678" w:rsidP="005C7678">
      <w:pPr>
        <w:shd w:val="clear" w:color="auto" w:fill="F4F4F4"/>
        <w:spacing w:after="240"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hyperlink r:id="rId6" w:history="1">
        <w:r w:rsidRPr="005C7678">
          <w:rPr>
            <w:rFonts w:ascii="Helvetica" w:eastAsia="Times New Roman" w:hAnsi="Helvetica" w:cs="Helvetica"/>
            <w:color w:val="0B4D63"/>
            <w:sz w:val="20"/>
            <w:szCs w:val="20"/>
            <w:u w:val="single"/>
            <w:lang w:eastAsia="ru-RU"/>
          </w:rPr>
          <w:t xml:space="preserve">Оформить заявку </w:t>
        </w:r>
      </w:hyperlink>
    </w:p>
    <w:p w:rsidR="005C7678" w:rsidRPr="005C7678" w:rsidRDefault="005C7678" w:rsidP="005C7678">
      <w:pPr>
        <w:shd w:val="clear" w:color="auto" w:fill="F4F4F4"/>
        <w:spacing w:line="300" w:lineRule="atLeast"/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</w:pP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*Возможность пополнения Вклада прекращается за 30 дней до окончания срока Вклада, за исключением зачисления сумм процентов. </w:t>
      </w: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br/>
      </w: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br/>
        <w:t xml:space="preserve">***Для вкладов с капитализацией процентов частичное снятие вклада предусмотрено в размере сумм капитализированных процентов. Для вкладов с выплатой процентов на текущий счет – частичное снятие вклада не предусмотрено. </w:t>
      </w: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br/>
      </w: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br/>
        <w:t xml:space="preserve">**** Процентная ставка по Вкладу является переменной - изменение Банком размера процентной ставки по Вкладу производится на следующий рабочий день после дня изменения Банком России размера ключевой ставки. </w:t>
      </w: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br/>
      </w: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br/>
      </w:r>
      <w:r w:rsidRPr="005C7678">
        <w:rPr>
          <w:rFonts w:ascii="Helvetica" w:eastAsia="Times New Roman" w:hAnsi="Helvetica" w:cs="Helvetica"/>
          <w:b/>
          <w:bCs/>
          <w:color w:val="2C3C42"/>
          <w:sz w:val="20"/>
          <w:szCs w:val="20"/>
          <w:lang w:eastAsia="ru-RU"/>
        </w:rPr>
        <w:t>Ключевая ставка ЦБ</w:t>
      </w:r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 - размер ключевой ставки, установленной и опубликованной Центральным банком Российской Федерации (Банк России) на официальном сайте </w:t>
      </w:r>
      <w:hyperlink r:id="rId7" w:tgtFrame="blank" w:history="1">
        <w:r w:rsidRPr="005C7678">
          <w:rPr>
            <w:rFonts w:ascii="Helvetica" w:eastAsia="Times New Roman" w:hAnsi="Helvetica" w:cs="Helvetica"/>
            <w:color w:val="0B4D63"/>
            <w:sz w:val="20"/>
            <w:szCs w:val="20"/>
            <w:u w:val="single"/>
            <w:lang w:eastAsia="ru-RU"/>
          </w:rPr>
          <w:t>http://www.cbr.ru</w:t>
        </w:r>
      </w:hyperlink>
      <w:r w:rsidRPr="005C7678">
        <w:rPr>
          <w:rFonts w:ascii="Helvetica" w:eastAsia="Times New Roman" w:hAnsi="Helvetica" w:cs="Helvetica"/>
          <w:color w:val="2C3C42"/>
          <w:sz w:val="20"/>
          <w:szCs w:val="20"/>
          <w:lang w:eastAsia="ru-RU"/>
        </w:rPr>
        <w:t xml:space="preserve">. </w:t>
      </w:r>
    </w:p>
    <w:p w:rsidR="00082741" w:rsidRPr="005C7678" w:rsidRDefault="00082741">
      <w:pPr>
        <w:rPr>
          <w:sz w:val="20"/>
          <w:szCs w:val="20"/>
        </w:rPr>
      </w:pPr>
    </w:p>
    <w:sectPr w:rsidR="00082741" w:rsidRPr="005C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DF0"/>
    <w:multiLevelType w:val="multilevel"/>
    <w:tmpl w:val="6ACE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8"/>
    <w:rsid w:val="00062EC1"/>
    <w:rsid w:val="00082741"/>
    <w:rsid w:val="001E40A6"/>
    <w:rsid w:val="002F1D0A"/>
    <w:rsid w:val="004E7134"/>
    <w:rsid w:val="005C7678"/>
    <w:rsid w:val="005E4AAB"/>
    <w:rsid w:val="005E7140"/>
    <w:rsid w:val="006C393F"/>
    <w:rsid w:val="006F0C31"/>
    <w:rsid w:val="00900E95"/>
    <w:rsid w:val="00936BED"/>
    <w:rsid w:val="00A77565"/>
    <w:rsid w:val="00AD68A3"/>
    <w:rsid w:val="00B100A9"/>
    <w:rsid w:val="00BC4595"/>
    <w:rsid w:val="00CC3820"/>
    <w:rsid w:val="00DA6B32"/>
    <w:rsid w:val="00E36C0C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678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78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5C7678"/>
    <w:rPr>
      <w:color w:val="0B4D6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678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78"/>
    <w:rPr>
      <w:rFonts w:ascii="Times New Roman" w:eastAsia="Times New Roman" w:hAnsi="Times New Roman" w:cs="Times New Roman"/>
      <w:color w:val="FF8A0D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5C7678"/>
    <w:rPr>
      <w:color w:val="0B4D6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229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bank.ru/home/deposits/order/?depositid=45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Боксгорн Александр Иванович</dc:creator>
  <cp:lastModifiedBy>Боксгорн Александр Иванович</cp:lastModifiedBy>
  <cp:revision>1</cp:revision>
  <dcterms:created xsi:type="dcterms:W3CDTF">2015-04-03T01:10:00Z</dcterms:created>
  <dcterms:modified xsi:type="dcterms:W3CDTF">2015-04-03T01:12:00Z</dcterms:modified>
</cp:coreProperties>
</file>